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1397BB10" w:rsidR="00B916B9" w:rsidRPr="00DB3907" w:rsidRDefault="003432E7" w:rsidP="00B916B9">
      <w:pPr>
        <w:pStyle w:val="Header"/>
        <w:tabs>
          <w:tab w:val="right" w:pos="9639"/>
        </w:tabs>
        <w:rPr>
          <w:rFonts w:cs="Arial"/>
          <w:sz w:val="24"/>
          <w:szCs w:val="24"/>
          <w:lang w:val="de-DE"/>
        </w:rPr>
      </w:pPr>
      <w:r w:rsidRPr="003432E7">
        <w:rPr>
          <w:rFonts w:cs="Arial"/>
          <w:sz w:val="24"/>
          <w:szCs w:val="24"/>
          <w:lang w:val="de-DE"/>
        </w:rPr>
        <w:t>3GPP TSG-RAN WG4 Meeting #108bis</w:t>
      </w:r>
      <w:r w:rsidR="00B916B9" w:rsidRPr="00DB3907">
        <w:rPr>
          <w:rFonts w:cs="Arial"/>
          <w:sz w:val="24"/>
          <w:szCs w:val="24"/>
          <w:lang w:val="de-DE"/>
        </w:rPr>
        <w:tab/>
      </w:r>
      <w:r w:rsidR="00804B41" w:rsidRPr="00804B41">
        <w:rPr>
          <w:rFonts w:cs="Arial"/>
          <w:sz w:val="24"/>
          <w:szCs w:val="24"/>
          <w:lang w:val="de-DE"/>
        </w:rPr>
        <w:t>R4-2316795</w:t>
      </w:r>
    </w:p>
    <w:p w14:paraId="41669A5F" w14:textId="7FA42375" w:rsidR="00B916B9" w:rsidRPr="00DB3907" w:rsidRDefault="00804B41" w:rsidP="00E864EA">
      <w:pPr>
        <w:pStyle w:val="Header"/>
        <w:rPr>
          <w:rFonts w:cs="Arial"/>
          <w:sz w:val="24"/>
          <w:szCs w:val="24"/>
        </w:rPr>
      </w:pPr>
      <w:r w:rsidRPr="00804B41">
        <w:rPr>
          <w:rFonts w:cs="Arial"/>
          <w:sz w:val="24"/>
          <w:szCs w:val="24"/>
        </w:rPr>
        <w:t>Xiamen, China, 9th – 13th October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2361BC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04B41">
        <w:rPr>
          <w:rFonts w:ascii="Arial" w:hAnsi="Arial"/>
          <w:sz w:val="24"/>
          <w:lang w:val="en-US"/>
        </w:rPr>
        <w:t>6.3.2</w:t>
      </w:r>
    </w:p>
    <w:p w14:paraId="1E1C2FD0" w14:textId="448AEB76"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F03460">
        <w:rPr>
          <w:rFonts w:ascii="Arial" w:hAnsi="Arial"/>
          <w:sz w:val="24"/>
          <w:lang w:val="en-US"/>
        </w:rPr>
        <w:t>, Viasat</w:t>
      </w:r>
    </w:p>
    <w:p w14:paraId="2BA7EB09" w14:textId="18401DF8"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81303" w:rsidRPr="00E81303">
        <w:rPr>
          <w:rFonts w:ascii="Arial" w:hAnsi="Arial"/>
          <w:sz w:val="24"/>
          <w:lang w:val="en-US"/>
        </w:rPr>
        <w:t>UE RF requirements for IoT NTN Extended L-band</w:t>
      </w:r>
    </w:p>
    <w:p w14:paraId="013F978F" w14:textId="770F5D2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E81303">
        <w:rPr>
          <w:rFonts w:ascii="Arial" w:hAnsi="Arial"/>
          <w:sz w:val="24"/>
          <w:lang w:val="en-US"/>
        </w:rPr>
        <w:t>Approval</w:t>
      </w:r>
    </w:p>
    <w:p w14:paraId="7FA5F78D" w14:textId="32D02505" w:rsidR="000A1A85" w:rsidRDefault="000E0602" w:rsidP="00453273">
      <w:pPr>
        <w:pStyle w:val="Heading1"/>
        <w:tabs>
          <w:tab w:val="num" w:pos="522"/>
        </w:tabs>
        <w:ind w:left="522" w:hanging="522"/>
        <w:rPr>
          <w:lang w:val="en-US"/>
        </w:rPr>
      </w:pPr>
      <w:r>
        <w:rPr>
          <w:lang w:val="en-US"/>
        </w:rPr>
        <w:t>Introduction</w:t>
      </w:r>
    </w:p>
    <w:p w14:paraId="2E7913D2" w14:textId="5ACFDCD4"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 xml:space="preserve">68-1675 </w:t>
      </w:r>
      <w:proofErr w:type="spellStart"/>
      <w:r w:rsidR="00563C85">
        <w:t>Mhz</w:t>
      </w:r>
      <w:proofErr w:type="spellEnd"/>
      <w:r w:rsidR="00563C85">
        <w:t xml:space="preserve"> UL,</w:t>
      </w:r>
      <w:r>
        <w:t xml:space="preserve"> </w:t>
      </w:r>
      <w:r w:rsidR="00563C85">
        <w:t>focusing on</w:t>
      </w:r>
      <w:r>
        <w:t xml:space="preserve"> IoT NTN</w:t>
      </w:r>
      <w:r w:rsidR="00563C85">
        <w:t xml:space="preserve"> support (Cat M1 and Cat NB1, NB2)</w:t>
      </w:r>
      <w:r w:rsidR="00240083">
        <w:t xml:space="preserve"> [1]</w:t>
      </w:r>
      <w:r w:rsidR="007A0DB8">
        <w:t>.</w:t>
      </w:r>
    </w:p>
    <w:p w14:paraId="73578828" w14:textId="4BFFA646" w:rsidR="00B83793" w:rsidRDefault="00B83793" w:rsidP="009011AF">
      <w:r>
        <w:t xml:space="preserve">The need for </w:t>
      </w:r>
      <w:r w:rsidR="007F3ABE">
        <w:t>further</w:t>
      </w:r>
      <w:r>
        <w:t xml:space="preserve"> discussion of additional UE blocking requirements was identified during discussion at RAN4#106-bis-e [2].</w:t>
      </w:r>
    </w:p>
    <w:p w14:paraId="2C951BCF" w14:textId="19D45A7A" w:rsidR="007F3ABE" w:rsidRDefault="00F03460" w:rsidP="009011AF">
      <w:r>
        <w:t xml:space="preserve">The discussion has further continued during </w:t>
      </w:r>
      <w:r w:rsidR="00B344F3">
        <w:t>RAN4#107</w:t>
      </w:r>
      <w:r w:rsidR="00E81303">
        <w:t xml:space="preserve"> and RAN4#108</w:t>
      </w:r>
      <w:r w:rsidR="00B344F3">
        <w:t xml:space="preserve">, but </w:t>
      </w:r>
      <w:proofErr w:type="gramStart"/>
      <w:r w:rsidR="00B344F3">
        <w:t>a number of</w:t>
      </w:r>
      <w:proofErr w:type="gramEnd"/>
      <w:r w:rsidR="00B344F3">
        <w:t xml:space="preserve"> items are still left open.</w:t>
      </w:r>
    </w:p>
    <w:p w14:paraId="20126D63" w14:textId="25C520F8" w:rsidR="00DC75D5" w:rsidRDefault="00DC75D5" w:rsidP="009011AF">
      <w:r>
        <w:t>The following was also agreed:</w:t>
      </w:r>
    </w:p>
    <w:p w14:paraId="339794E2" w14:textId="77777777" w:rsidR="0009296F" w:rsidRPr="00331297" w:rsidRDefault="0009296F" w:rsidP="0009296F">
      <w:pPr>
        <w:rPr>
          <w:rFonts w:eastAsia="Malgun Gothic"/>
          <w:b/>
          <w:color w:val="0070C0"/>
          <w:u w:val="single"/>
          <w:lang w:eastAsia="ko-KR"/>
        </w:rPr>
      </w:pPr>
      <w:r w:rsidRPr="00331297">
        <w:rPr>
          <w:rFonts w:eastAsia="Malgun Gothic" w:hint="eastAsia"/>
          <w:b/>
          <w:color w:val="0070C0"/>
          <w:u w:val="single"/>
          <w:lang w:eastAsia="ko-KR"/>
        </w:rPr>
        <w:t xml:space="preserve">Agreement: </w:t>
      </w:r>
    </w:p>
    <w:p w14:paraId="593765D6" w14:textId="77777777" w:rsidR="0009296F" w:rsidRPr="00331297" w:rsidRDefault="0009296F" w:rsidP="0009296F">
      <w:pPr>
        <w:pStyle w:val="ListParagraph"/>
        <w:numPr>
          <w:ilvl w:val="0"/>
          <w:numId w:val="19"/>
        </w:numPr>
        <w:overflowPunct/>
        <w:autoSpaceDE/>
        <w:autoSpaceDN/>
        <w:adjustRightInd/>
        <w:spacing w:after="120"/>
        <w:ind w:left="936"/>
        <w:contextualSpacing w:val="0"/>
        <w:textAlignment w:val="auto"/>
        <w:rPr>
          <w:rFonts w:eastAsia="SimSun"/>
          <w:color w:val="0070C0"/>
          <w:szCs w:val="24"/>
          <w:lang w:eastAsia="zh-CN"/>
        </w:rPr>
      </w:pPr>
      <w:r w:rsidRPr="00331297">
        <w:rPr>
          <w:rFonts w:eastAsia="SimSun"/>
          <w:color w:val="0070C0"/>
          <w:szCs w:val="24"/>
          <w:lang w:eastAsia="zh-CN"/>
        </w:rPr>
        <w:t xml:space="preserve">Specify UE receiver blocking requirements by starting with ECC Report 263. Companies are encouraged to study how to capture these requirements in the specification. </w:t>
      </w:r>
    </w:p>
    <w:p w14:paraId="3D4AA460" w14:textId="77777777" w:rsidR="0009296F" w:rsidRPr="00331297" w:rsidRDefault="0009296F" w:rsidP="0009296F">
      <w:pPr>
        <w:pStyle w:val="ListParagraph"/>
        <w:numPr>
          <w:ilvl w:val="1"/>
          <w:numId w:val="19"/>
        </w:numPr>
        <w:overflowPunct/>
        <w:autoSpaceDE/>
        <w:autoSpaceDN/>
        <w:adjustRightInd/>
        <w:spacing w:after="120"/>
        <w:ind w:left="1656"/>
        <w:contextualSpacing w:val="0"/>
        <w:textAlignment w:val="auto"/>
        <w:rPr>
          <w:rFonts w:eastAsia="SimSun"/>
          <w:color w:val="0070C0"/>
          <w:szCs w:val="24"/>
          <w:lang w:eastAsia="zh-CN"/>
        </w:rPr>
      </w:pPr>
      <w:r w:rsidRPr="00331297">
        <w:rPr>
          <w:rFonts w:eastAsia="SimSun"/>
          <w:color w:val="0070C0"/>
          <w:szCs w:val="24"/>
          <w:lang w:eastAsia="zh-CN"/>
        </w:rPr>
        <w:t>Study the feasibility of specifying UE receiver blocking requirements at the 1518 MHz band edge and at the 1520 MHz channel offset.</w:t>
      </w:r>
    </w:p>
    <w:p w14:paraId="73E71689" w14:textId="77777777" w:rsidR="00DC75D5" w:rsidRDefault="00DC75D5" w:rsidP="009011AF"/>
    <w:p w14:paraId="10BC7887" w14:textId="656CECCA" w:rsidR="002D1392" w:rsidRDefault="002D1392" w:rsidP="009011AF">
      <w:r>
        <w:t>In this document, we wish to pr</w:t>
      </w:r>
      <w:r w:rsidR="00C456B4">
        <w:t xml:space="preserve">opose </w:t>
      </w:r>
      <w:r w:rsidR="0009296F">
        <w:t>input on</w:t>
      </w:r>
      <w:r w:rsidR="00C456B4">
        <w:t xml:space="preserve"> </w:t>
      </w:r>
      <w:r w:rsidR="00291A1D">
        <w:t>UE RF requirements</w:t>
      </w:r>
      <w:r w:rsidR="00B344F3">
        <w:t xml:space="preserve">, including </w:t>
      </w:r>
      <w:r w:rsidR="0009296F">
        <w:t xml:space="preserve">feasibility </w:t>
      </w:r>
      <w:proofErr w:type="gramStart"/>
      <w:r w:rsidR="0009296F">
        <w:t xml:space="preserve">of  </w:t>
      </w:r>
      <w:r w:rsidR="00B344F3">
        <w:t>UE</w:t>
      </w:r>
      <w:proofErr w:type="gramEnd"/>
      <w:r w:rsidR="00B344F3">
        <w:t xml:space="preserve"> blocking requirements </w:t>
      </w:r>
      <w:r w:rsidR="00291A1D">
        <w:t>based on recommendations from</w:t>
      </w:r>
      <w:r w:rsidR="00864FFD">
        <w:t xml:space="preserve"> ECC Report 26</w:t>
      </w:r>
      <w:r w:rsidR="00C456B4">
        <w:t>3</w:t>
      </w:r>
      <w:r w:rsidR="00D651C0">
        <w:t>.</w:t>
      </w:r>
    </w:p>
    <w:p w14:paraId="37B6190D" w14:textId="655A0656" w:rsidR="001C4E78" w:rsidRPr="001C4E78" w:rsidRDefault="00E21DFA" w:rsidP="001C4E78">
      <w:pPr>
        <w:pStyle w:val="Heading1"/>
      </w:pPr>
      <w:r>
        <w:t>UE</w:t>
      </w:r>
      <w:r w:rsidR="001C4E78">
        <w:t xml:space="preserve"> General Parameters</w:t>
      </w:r>
    </w:p>
    <w:p w14:paraId="2F579F63" w14:textId="6FFE1010" w:rsidR="007D6FC2" w:rsidRDefault="007D6FC2" w:rsidP="007D6FC2">
      <w:pPr>
        <w:pStyle w:val="Heading2"/>
      </w:pPr>
      <w:r>
        <w:t>TX-RX separation</w:t>
      </w:r>
    </w:p>
    <w:p w14:paraId="062F5E14" w14:textId="77777777" w:rsidR="007D6FC2" w:rsidRDefault="007D6FC2" w:rsidP="007D6FC2">
      <w:r>
        <w:t xml:space="preserve">The first item that we wish to examine is the TX-RX frequency separation.  </w:t>
      </w:r>
    </w:p>
    <w:p w14:paraId="6238CF4C" w14:textId="77777777" w:rsidR="007D6FC2" w:rsidRDefault="007D6FC2" w:rsidP="007D6FC2">
      <w:r>
        <w:t>During RAN4#106bis, the following was agreed:</w:t>
      </w:r>
    </w:p>
    <w:p w14:paraId="387592FE" w14:textId="77777777" w:rsidR="007D6FC2" w:rsidRPr="00BB5EF6" w:rsidRDefault="007D6FC2" w:rsidP="007D6FC2">
      <w:pPr>
        <w:rPr>
          <w:b/>
          <w:bCs/>
          <w:color w:val="0070C0"/>
          <w:u w:val="single"/>
        </w:rPr>
      </w:pPr>
      <w:r w:rsidRPr="00BB5EF6">
        <w:rPr>
          <w:b/>
          <w:bCs/>
          <w:color w:val="0070C0"/>
          <w:u w:val="single"/>
        </w:rPr>
        <w:t>Agreement:</w:t>
      </w:r>
    </w:p>
    <w:p w14:paraId="1194E1D5" w14:textId="77777777" w:rsidR="007D6FC2" w:rsidRPr="00BB5EF6" w:rsidRDefault="007D6FC2" w:rsidP="007D6FC2">
      <w:pPr>
        <w:pStyle w:val="B10"/>
        <w:numPr>
          <w:ilvl w:val="0"/>
          <w:numId w:val="22"/>
        </w:numPr>
        <w:overflowPunct w:val="0"/>
        <w:autoSpaceDE w:val="0"/>
        <w:autoSpaceDN w:val="0"/>
        <w:adjustRightInd w:val="0"/>
        <w:textAlignment w:val="baseline"/>
        <w:rPr>
          <w:color w:val="0070C0"/>
          <w:lang w:eastAsia="ja-JP"/>
        </w:rPr>
      </w:pPr>
      <w:r w:rsidRPr="00BB5EF6">
        <w:rPr>
          <w:color w:val="0070C0"/>
        </w:rPr>
        <w:t>Consider if Option 1 can be agreed as a starting point, pending further checking of the frequency range.</w:t>
      </w:r>
    </w:p>
    <w:p w14:paraId="17A86DC4" w14:textId="77777777" w:rsidR="007D6FC2" w:rsidRPr="00BB5EF6" w:rsidRDefault="007D6FC2" w:rsidP="007D6FC2">
      <w:pPr>
        <w:pStyle w:val="B10"/>
        <w:numPr>
          <w:ilvl w:val="1"/>
          <w:numId w:val="22"/>
        </w:numPr>
        <w:overflowPunct w:val="0"/>
        <w:autoSpaceDE w:val="0"/>
        <w:autoSpaceDN w:val="0"/>
        <w:adjustRightInd w:val="0"/>
        <w:textAlignment w:val="baseline"/>
        <w:rPr>
          <w:color w:val="0070C0"/>
          <w:lang w:eastAsia="ja-JP"/>
        </w:rPr>
      </w:pPr>
      <w:r w:rsidRPr="00BB5EF6">
        <w:rPr>
          <w:color w:val="0070C0"/>
          <w:lang w:eastAsia="ja-JP"/>
        </w:rPr>
        <w:t xml:space="preserve">Option1: Agree on Default TX-RX separation of -150 </w:t>
      </w:r>
      <w:proofErr w:type="gramStart"/>
      <w:r w:rsidRPr="00BB5EF6">
        <w:rPr>
          <w:color w:val="0070C0"/>
          <w:lang w:eastAsia="ja-JP"/>
        </w:rPr>
        <w:t>MHz</w:t>
      </w:r>
      <w:proofErr w:type="gramEnd"/>
    </w:p>
    <w:p w14:paraId="3387B353" w14:textId="77777777" w:rsidR="007D6FC2" w:rsidRDefault="007D6FC2" w:rsidP="007D6FC2">
      <w:r>
        <w:t>Now that the frequency range has been agreed and confirmed, the Default TX-RX frequency separation value can be agreed.</w:t>
      </w:r>
    </w:p>
    <w:p w14:paraId="77F736B0" w14:textId="77777777" w:rsidR="007D6FC2" w:rsidRDefault="007D6FC2" w:rsidP="007D6FC2">
      <w:r>
        <w:t xml:space="preserve">We consider that the value of -150 MHz is correct as a baseline starting point.  Currently, TS 36.101 clause </w:t>
      </w:r>
      <w:r w:rsidRPr="00DE39FB">
        <w:t>5.7.4F</w:t>
      </w:r>
      <w:r>
        <w:t xml:space="preserve"> stipulates:</w:t>
      </w:r>
    </w:p>
    <w:p w14:paraId="61F9FF56" w14:textId="77777777" w:rsidR="007D6FC2" w:rsidRPr="00314585" w:rsidRDefault="007D6FC2" w:rsidP="007D6FC2">
      <w:pPr>
        <w:rPr>
          <w:i/>
          <w:iCs/>
        </w:rPr>
      </w:pPr>
      <w:r w:rsidRPr="00314585">
        <w:rPr>
          <w:i/>
          <w:iCs/>
        </w:rPr>
        <w:t>For in-band and guard-band operation mode, the</w:t>
      </w:r>
      <w:r w:rsidRPr="00314585">
        <w:rPr>
          <w:rFonts w:hint="eastAsia"/>
          <w:i/>
          <w:iCs/>
        </w:rPr>
        <w:t xml:space="preserve"> category NB1 and NB2</w:t>
      </w:r>
      <w:r w:rsidRPr="00314585">
        <w:rPr>
          <w:i/>
          <w:iCs/>
        </w:rPr>
        <w:t xml:space="preserve"> TX-RX frequency separation is flexible within the </w:t>
      </w:r>
      <w:r w:rsidRPr="00314585">
        <w:rPr>
          <w:rFonts w:hint="eastAsia"/>
          <w:i/>
          <w:iCs/>
        </w:rPr>
        <w:t>assigned channel bandwidth of E-UTRA carrier with</w:t>
      </w:r>
      <w:r w:rsidRPr="00314585">
        <w:rPr>
          <w:i/>
          <w:iCs/>
        </w:rPr>
        <w:t xml:space="preserve"> the TX-RX frequency separation of the E-UTRA carriers as specified in </w:t>
      </w:r>
      <w:r w:rsidRPr="00314585">
        <w:rPr>
          <w:rFonts w:hint="eastAsia"/>
          <w:i/>
          <w:iCs/>
          <w:lang w:eastAsia="zh-CN"/>
        </w:rPr>
        <w:t>Table 5.7.4-1</w:t>
      </w:r>
      <w:r w:rsidRPr="00314585">
        <w:rPr>
          <w:i/>
          <w:iCs/>
        </w:rPr>
        <w:t xml:space="preserve">. For stand-alone operation mode the default TX-RX frequency separation is the same as </w:t>
      </w:r>
      <w:r w:rsidRPr="00314585">
        <w:rPr>
          <w:rFonts w:hint="eastAsia"/>
          <w:i/>
          <w:iCs/>
          <w:lang w:eastAsia="zh-CN"/>
        </w:rPr>
        <w:t>Table</w:t>
      </w:r>
      <w:r w:rsidRPr="00314585">
        <w:rPr>
          <w:i/>
          <w:iCs/>
        </w:rPr>
        <w:t xml:space="preserve"> 5.7.4-1.</w:t>
      </w:r>
    </w:p>
    <w:p w14:paraId="4EC57AC1" w14:textId="77777777" w:rsidR="007D6FC2" w:rsidRDefault="007D6FC2" w:rsidP="007D6FC2">
      <w:r>
        <w:lastRenderedPageBreak/>
        <w:t>Which allows a flexible TX-RX separation for NB1 and NB2 for in-band and guard-band operation.  However, this is not supported for stand-alone operation, and such requirement was inherited by all current NTN bands in TS 36.102.</w:t>
      </w:r>
    </w:p>
    <w:p w14:paraId="09032944" w14:textId="77777777" w:rsidR="007D6FC2" w:rsidRDefault="007D6FC2" w:rsidP="007D6FC2">
      <w:r>
        <w:t>However, due to the nature of usage of the Extended L-band via satellite, which includes deployment of NTN cells around already existing services, there is a strong benefit in allowing flexibility in the allocation of UL channels vs DL channels across the frequency range.</w:t>
      </w:r>
    </w:p>
    <w:p w14:paraId="5952BF70" w14:textId="77777777" w:rsidR="007D6FC2" w:rsidRPr="00EF4FC2" w:rsidRDefault="007D6FC2" w:rsidP="007D6FC2">
      <w:pPr>
        <w:rPr>
          <w:b/>
          <w:bCs/>
        </w:rPr>
      </w:pPr>
      <w:r>
        <w:rPr>
          <w:b/>
          <w:bCs/>
        </w:rPr>
        <w:t xml:space="preserve">Observation 1: Flexibility in allocating UL channels in respect to DL channels is extremely beneficial </w:t>
      </w:r>
      <w:proofErr w:type="gramStart"/>
      <w:r>
        <w:rPr>
          <w:b/>
          <w:bCs/>
        </w:rPr>
        <w:t>in order to</w:t>
      </w:r>
      <w:proofErr w:type="gramEnd"/>
      <w:r>
        <w:rPr>
          <w:b/>
          <w:bCs/>
        </w:rPr>
        <w:t xml:space="preserve"> accommodate deployment of NTN cells around existing services within the Band 253 frequency range.</w:t>
      </w:r>
    </w:p>
    <w:p w14:paraId="56870C32" w14:textId="77777777" w:rsidR="007D6FC2" w:rsidRDefault="007D6FC2" w:rsidP="007D6FC2">
      <w:r>
        <w:t xml:space="preserve">It can also be considered that the minimum TX-RX separation that the band can have </w:t>
      </w:r>
      <w:proofErr w:type="gramStart"/>
      <w:r>
        <w:t>is</w:t>
      </w:r>
      <w:proofErr w:type="gramEnd"/>
      <w:r>
        <w:t>:</w:t>
      </w:r>
    </w:p>
    <w:p w14:paraId="15EBB235" w14:textId="77777777" w:rsidR="007D6FC2" w:rsidRDefault="007D6FC2" w:rsidP="007D6FC2">
      <w:pPr>
        <w:jc w:val="center"/>
      </w:pPr>
      <w:r>
        <w:t xml:space="preserve">1525 – 1668 = -143 MHz </w:t>
      </w:r>
    </w:p>
    <w:p w14:paraId="0E205F24" w14:textId="77777777" w:rsidR="007D6FC2" w:rsidRDefault="007D6FC2" w:rsidP="007D6FC2">
      <w:r>
        <w:t>Even if hypothetically considering an upper limit of the DL inside Band 255, the TX-RX separation is still quite large:</w:t>
      </w:r>
    </w:p>
    <w:p w14:paraId="0AEEB149" w14:textId="77777777" w:rsidR="007D6FC2" w:rsidRDefault="007D6FC2" w:rsidP="007D6FC2">
      <w:pPr>
        <w:jc w:val="center"/>
      </w:pPr>
      <w:r>
        <w:t>1559 – 1668 = -109 MHz</w:t>
      </w:r>
    </w:p>
    <w:p w14:paraId="021402C2" w14:textId="77777777" w:rsidR="007D6FC2" w:rsidRDefault="007D6FC2" w:rsidP="007D6FC2">
      <w:r>
        <w:t>Given such a large minimum spacing between DL and UL, there is not a risk of possible leakage between TX and RX chains.</w:t>
      </w:r>
    </w:p>
    <w:p w14:paraId="54BA79A8" w14:textId="77777777" w:rsidR="007D6FC2" w:rsidRPr="001148EE" w:rsidRDefault="007D6FC2" w:rsidP="007D6FC2">
      <w:pPr>
        <w:rPr>
          <w:b/>
          <w:bCs/>
        </w:rPr>
      </w:pPr>
      <w:r>
        <w:rPr>
          <w:b/>
          <w:bCs/>
        </w:rPr>
        <w:t>Observation 2: Given then large minimum TX-RX separation for Band 253 (-143 MHz), flexible TX-RX separation could be supported.</w:t>
      </w:r>
    </w:p>
    <w:p w14:paraId="10DA102E" w14:textId="77777777" w:rsidR="007D6FC2" w:rsidRDefault="007D6FC2" w:rsidP="007D6FC2">
      <w:r>
        <w:t>Furthermore, the totality of the bandwidth of Band 253 is less than 10 MHz, which is very similar to a typical LTE or NR channel FR1 channel BW.</w:t>
      </w:r>
    </w:p>
    <w:p w14:paraId="18AB7FA4" w14:textId="77777777" w:rsidR="007D6FC2" w:rsidRDefault="007D6FC2" w:rsidP="007D6FC2">
      <w:r>
        <w:t>Therefore, we propose to add a note to capture that flexible TX-RX separation is supported for Band 253 at least for category NB1 and NB2 within the operating band, also for stand-alone NTN deployment.</w:t>
      </w:r>
    </w:p>
    <w:p w14:paraId="064C82A2" w14:textId="77777777" w:rsidR="007D6FC2" w:rsidRDefault="007D6FC2" w:rsidP="007D6FC2">
      <w:pPr>
        <w:rPr>
          <w:b/>
          <w:bCs/>
        </w:rPr>
      </w:pPr>
      <w:r>
        <w:rPr>
          <w:b/>
          <w:bCs/>
        </w:rPr>
        <w:t>Proposal 1: Agree on the following Default TX-RX separation, including NOTE 1:</w:t>
      </w:r>
    </w:p>
    <w:p w14:paraId="403C4257" w14:textId="77777777" w:rsidR="007D6FC2" w:rsidRPr="002505AD" w:rsidRDefault="007D6FC2" w:rsidP="007D6FC2">
      <w:pPr>
        <w:pStyle w:val="TH"/>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D6FC2" w:rsidRPr="002505AD" w14:paraId="1A367729" w14:textId="77777777" w:rsidTr="00310608">
        <w:trPr>
          <w:tblHeader/>
          <w:jc w:val="center"/>
        </w:trPr>
        <w:tc>
          <w:tcPr>
            <w:tcW w:w="2817" w:type="dxa"/>
          </w:tcPr>
          <w:p w14:paraId="62C9D400" w14:textId="77777777" w:rsidR="007D6FC2" w:rsidRPr="002505AD" w:rsidRDefault="007D6FC2" w:rsidP="00310608">
            <w:pPr>
              <w:pStyle w:val="TAH"/>
              <w:rPr>
                <w:rFonts w:cs="Arial"/>
              </w:rPr>
            </w:pPr>
            <w:r w:rsidRPr="002505AD">
              <w:rPr>
                <w:rFonts w:cs="Arial"/>
              </w:rPr>
              <w:t>E-UTRA Operating Band</w:t>
            </w:r>
          </w:p>
        </w:tc>
        <w:tc>
          <w:tcPr>
            <w:tcW w:w="2693" w:type="dxa"/>
          </w:tcPr>
          <w:p w14:paraId="73D70061" w14:textId="77777777" w:rsidR="007D6FC2" w:rsidRPr="002505AD" w:rsidRDefault="007D6FC2" w:rsidP="00310608">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7D6FC2" w:rsidRPr="002505AD" w14:paraId="524B2B39" w14:textId="77777777" w:rsidTr="00310608">
        <w:trPr>
          <w:jc w:val="center"/>
        </w:trPr>
        <w:tc>
          <w:tcPr>
            <w:tcW w:w="2817" w:type="dxa"/>
          </w:tcPr>
          <w:p w14:paraId="3686255B" w14:textId="77777777" w:rsidR="007D6FC2" w:rsidRPr="002505AD" w:rsidRDefault="007D6FC2" w:rsidP="00310608">
            <w:pPr>
              <w:pStyle w:val="TAC"/>
              <w:rPr>
                <w:rFonts w:cs="Arial"/>
              </w:rPr>
            </w:pPr>
            <w:r w:rsidRPr="002505AD">
              <w:rPr>
                <w:rFonts w:cs="Arial"/>
              </w:rPr>
              <w:t>25</w:t>
            </w:r>
            <w:r>
              <w:rPr>
                <w:rFonts w:cs="Arial"/>
              </w:rPr>
              <w:t>3</w:t>
            </w:r>
          </w:p>
        </w:tc>
        <w:tc>
          <w:tcPr>
            <w:tcW w:w="2693" w:type="dxa"/>
          </w:tcPr>
          <w:p w14:paraId="5353D625" w14:textId="77777777" w:rsidR="007D6FC2" w:rsidRPr="002505AD" w:rsidRDefault="007D6FC2" w:rsidP="00310608">
            <w:pPr>
              <w:pStyle w:val="TAC"/>
              <w:rPr>
                <w:rFonts w:cs="Arial"/>
              </w:rPr>
            </w:pPr>
            <w:r>
              <w:rPr>
                <w:rFonts w:cs="Arial"/>
              </w:rPr>
              <w:t>-</w:t>
            </w:r>
            <w:r w:rsidRPr="002505AD">
              <w:rPr>
                <w:rFonts w:cs="Arial"/>
              </w:rPr>
              <w:t>1</w:t>
            </w:r>
            <w:r>
              <w:rPr>
                <w:rFonts w:cs="Arial"/>
              </w:rPr>
              <w:t>5</w:t>
            </w:r>
            <w:r w:rsidRPr="002505AD">
              <w:rPr>
                <w:rFonts w:cs="Arial"/>
              </w:rPr>
              <w:t>0 MHz</w:t>
            </w:r>
          </w:p>
        </w:tc>
      </w:tr>
      <w:tr w:rsidR="007D6FC2" w:rsidRPr="002505AD" w14:paraId="4FBF40D1" w14:textId="77777777" w:rsidTr="00310608">
        <w:trPr>
          <w:jc w:val="center"/>
        </w:trPr>
        <w:tc>
          <w:tcPr>
            <w:tcW w:w="5510" w:type="dxa"/>
            <w:gridSpan w:val="2"/>
          </w:tcPr>
          <w:p w14:paraId="28C6051F" w14:textId="77777777" w:rsidR="007D6FC2" w:rsidRDefault="007D6FC2" w:rsidP="00310608">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7726617F" w14:textId="77777777" w:rsidR="007D6FC2" w:rsidRPr="00691B2B" w:rsidRDefault="007D6FC2" w:rsidP="007D6FC2">
      <w:pPr>
        <w:rPr>
          <w:b/>
          <w:bCs/>
        </w:rPr>
      </w:pPr>
    </w:p>
    <w:p w14:paraId="285091FF" w14:textId="77777777" w:rsidR="007D6FC2" w:rsidRPr="007D6FC2" w:rsidRDefault="007D6FC2" w:rsidP="007D6FC2"/>
    <w:p w14:paraId="35FDA952" w14:textId="2B23598E" w:rsidR="007D6FC2" w:rsidRDefault="007D6FC2">
      <w:pPr>
        <w:pStyle w:val="Heading2"/>
      </w:pPr>
      <w:r>
        <w:t xml:space="preserve">Channel Raster and </w:t>
      </w:r>
      <w:proofErr w:type="gramStart"/>
      <w:r>
        <w:t>offset</w:t>
      </w:r>
      <w:proofErr w:type="gramEnd"/>
    </w:p>
    <w:p w14:paraId="288F3BEA" w14:textId="79B743EB" w:rsidR="007D6FC2" w:rsidRDefault="007D6FC2" w:rsidP="007D6FC2">
      <w:r>
        <w:t xml:space="preserve">Secondly, we want to consider the aspects related to channel raster.  </w:t>
      </w:r>
    </w:p>
    <w:p w14:paraId="7FA6DE13" w14:textId="37248396" w:rsidR="007D6FC2" w:rsidRDefault="00956CF8" w:rsidP="007D6FC2">
      <w:r>
        <w:t xml:space="preserve">As highlighted already in the previous section, it is expected that NTN cells will be deployed at least initially around </w:t>
      </w:r>
      <w:proofErr w:type="gramStart"/>
      <w:r>
        <w:t>a number of</w:t>
      </w:r>
      <w:proofErr w:type="gramEnd"/>
      <w:r>
        <w:t xml:space="preserve"> pre-existing satellite services co-existing within the same operating bands.  To this end, maximum flexibility in the ability of the NTN operator to allocate carriers flexibly within the operating band is of paramount importance.</w:t>
      </w:r>
    </w:p>
    <w:p w14:paraId="342A7DA5" w14:textId="784BD0EB" w:rsidR="00956CF8" w:rsidRDefault="00956CF8" w:rsidP="007D6FC2">
      <w:r>
        <w:t>Furthermore, when considering deployments in NGSO scenarios, there is a need to accommodate additional Doppler shift, which may require reserving some amount of guard band either at the edge of the operating band, or in some cases within the band, at the edge between NTN cells and non-3GPP service frequency blocks.</w:t>
      </w:r>
      <w:r w:rsidR="00AC7CED">
        <w:t xml:space="preserve"> These guard bands will in many cases likely be smaller or non-multiple of 100 kHz, which is the minimum channel raster for LTE bands.</w:t>
      </w:r>
    </w:p>
    <w:p w14:paraId="12801980" w14:textId="31730D3D" w:rsidR="00AC7CED" w:rsidRPr="00AC7CED" w:rsidRDefault="00AC7CED" w:rsidP="00AC7CED">
      <w:pPr>
        <w:rPr>
          <w:b/>
          <w:bCs/>
        </w:rPr>
      </w:pPr>
      <w:r>
        <w:rPr>
          <w:b/>
          <w:bCs/>
        </w:rPr>
        <w:t>Observation 3: When considering deployments in NGSO scenarios, there may be a need to accommodate additional Doppler in smaller offsets than the 100 kHz channel raster supported for IoT NTN LTE bands.</w:t>
      </w:r>
    </w:p>
    <w:p w14:paraId="4E6436C1" w14:textId="3CF4E958" w:rsidR="00870AC4" w:rsidRDefault="00956CF8" w:rsidP="007D6FC2">
      <w:r>
        <w:t xml:space="preserve">To this end, </w:t>
      </w:r>
      <w:proofErr w:type="gramStart"/>
      <w:r w:rsidR="00870AC4">
        <w:t>in order to</w:t>
      </w:r>
      <w:proofErr w:type="gramEnd"/>
      <w:r w:rsidR="00870AC4">
        <w:t xml:space="preserve"> minimize wastage of spectrum, it would be very beneficial to be able to allocate NTN carriers with offsets smaller than the minimum channel raster of 100 kHz. </w:t>
      </w:r>
    </w:p>
    <w:p w14:paraId="54C5872E" w14:textId="280D8D9F" w:rsidR="00870AC4" w:rsidRDefault="00870AC4" w:rsidP="007D6FC2">
      <w:r>
        <w:t>The ideal solution would be to adopt a smaller channel raster, of at least 50 kHz. However, this is currently not supported by LTE, therefore it’s not clear whether this is possible for new IoT NTN bands such as Band 253.</w:t>
      </w:r>
    </w:p>
    <w:p w14:paraId="0DBF4C31" w14:textId="2D2164DD" w:rsidR="00870AC4" w:rsidRDefault="00870AC4" w:rsidP="007D6FC2">
      <w:r>
        <w:lastRenderedPageBreak/>
        <w:t>Alternatively, a simple solution could be to allow the specification of a</w:t>
      </w:r>
      <w:r w:rsidR="00AC7CED">
        <w:t xml:space="preserve"> non-zero</w:t>
      </w:r>
      <w:r>
        <w:t xml:space="preserve"> </w:t>
      </w:r>
      <w:r w:rsidR="00AC7CED" w:rsidRPr="002505AD">
        <w:rPr>
          <w:rFonts w:eastAsia="SimSun"/>
        </w:rPr>
        <w:t>M</w:t>
      </w:r>
      <w:r w:rsidR="00AC7CED" w:rsidRPr="002505AD">
        <w:rPr>
          <w:rFonts w:eastAsia="SimSun"/>
          <w:vertAlign w:val="subscript"/>
        </w:rPr>
        <w:t>DL</w:t>
      </w:r>
      <w:r w:rsidR="00AC7CED">
        <w:t xml:space="preserve"> value also for Anchor Carriers carrying NPSS/NSSS in stand-alone NB-IoT NTN deployment.</w:t>
      </w:r>
    </w:p>
    <w:p w14:paraId="02021E8A" w14:textId="34F73BA7" w:rsidR="00AC7CED" w:rsidRDefault="00AC7CED" w:rsidP="007D6FC2">
      <w:pPr>
        <w:rPr>
          <w:b/>
          <w:bCs/>
        </w:rPr>
      </w:pPr>
      <w:r>
        <w:rPr>
          <w:b/>
          <w:bCs/>
        </w:rPr>
        <w:t>Proposal 2: Consider the following alternative options to support more flexible accommodation of IoT NTN channels around existing services and around additional guard bands in Band 253:</w:t>
      </w:r>
    </w:p>
    <w:p w14:paraId="181D4F8A" w14:textId="0BB85402" w:rsidR="00AC7CED" w:rsidRDefault="00AC7CED" w:rsidP="00AC7CED">
      <w:pPr>
        <w:pStyle w:val="ListParagraph"/>
        <w:numPr>
          <w:ilvl w:val="0"/>
          <w:numId w:val="22"/>
        </w:numPr>
        <w:rPr>
          <w:b/>
          <w:bCs/>
        </w:rPr>
      </w:pPr>
      <w:r>
        <w:rPr>
          <w:b/>
          <w:bCs/>
        </w:rPr>
        <w:t>Option 1: Specify support for 50 kHz channel raster.</w:t>
      </w:r>
    </w:p>
    <w:p w14:paraId="351C104F" w14:textId="2F38DCDA" w:rsidR="00AC7CED" w:rsidRPr="00AC7CED" w:rsidRDefault="00AC7CED" w:rsidP="00AC7CED">
      <w:pPr>
        <w:pStyle w:val="ListParagraph"/>
        <w:numPr>
          <w:ilvl w:val="0"/>
          <w:numId w:val="22"/>
        </w:numPr>
        <w:rPr>
          <w:b/>
          <w:bCs/>
        </w:rPr>
      </w:pPr>
      <w:r>
        <w:rPr>
          <w:b/>
          <w:bCs/>
        </w:rPr>
        <w:t xml:space="preserve">Option 2: Specify support for non-zero </w:t>
      </w:r>
      <w:r w:rsidRPr="00AC7CED">
        <w:rPr>
          <w:rFonts w:eastAsia="SimSun"/>
          <w:b/>
          <w:bCs/>
        </w:rPr>
        <w:t>M</w:t>
      </w:r>
      <w:r w:rsidRPr="00AC7CED">
        <w:rPr>
          <w:rFonts w:eastAsia="SimSun"/>
          <w:b/>
          <w:bCs/>
          <w:vertAlign w:val="subscript"/>
        </w:rPr>
        <w:t>DL</w:t>
      </w:r>
      <w:r w:rsidRPr="00AC7CED">
        <w:rPr>
          <w:b/>
          <w:bCs/>
        </w:rPr>
        <w:t xml:space="preserve"> </w:t>
      </w:r>
      <w:r>
        <w:rPr>
          <w:b/>
          <w:bCs/>
        </w:rPr>
        <w:t xml:space="preserve">values also for Anchor Carriers carrying NPSS/NSSS in stand-alone NB-IoT NTN </w:t>
      </w:r>
      <w:proofErr w:type="gramStart"/>
      <w:r>
        <w:rPr>
          <w:b/>
          <w:bCs/>
        </w:rPr>
        <w:t>deployment</w:t>
      </w:r>
      <w:proofErr w:type="gramEnd"/>
    </w:p>
    <w:p w14:paraId="345E4B1E" w14:textId="77777777" w:rsidR="007D6FC2" w:rsidRPr="007D6FC2" w:rsidRDefault="007D6FC2" w:rsidP="007D6FC2"/>
    <w:p w14:paraId="63911C2E" w14:textId="441C4298" w:rsidR="0073294A" w:rsidRPr="00FD161B" w:rsidRDefault="0073294A" w:rsidP="0073294A">
      <w:pPr>
        <w:pStyle w:val="Heading1"/>
        <w:rPr>
          <w:lang w:val="en-US"/>
        </w:rPr>
      </w:pPr>
      <w:r>
        <w:rPr>
          <w:lang w:val="en-US"/>
        </w:rPr>
        <w:t>UE Receiver Requirements</w:t>
      </w:r>
    </w:p>
    <w:p w14:paraId="36B94005" w14:textId="0E66BDA0" w:rsidR="00437611" w:rsidRDefault="00437611" w:rsidP="00437611">
      <w:pPr>
        <w:pStyle w:val="Heading2"/>
      </w:pPr>
      <w:r>
        <w:t>ACS</w:t>
      </w:r>
      <w:r w:rsidR="00260EEA">
        <w:t xml:space="preserve"> and Maximum Input </w:t>
      </w:r>
      <w:r w:rsidR="00767877">
        <w:t>Level</w:t>
      </w:r>
    </w:p>
    <w:p w14:paraId="7B4B7F36" w14:textId="77777777" w:rsidR="008A1A60" w:rsidRDefault="00437611" w:rsidP="00437611">
      <w:r>
        <w:t>It can be observed that for current IoT NTN bands in TS 36.102, an ACS</w:t>
      </w:r>
      <w:r w:rsidR="00260EEA">
        <w:t xml:space="preserve"> was specified</w:t>
      </w:r>
      <w:r>
        <w:t xml:space="preserve"> </w:t>
      </w:r>
      <w:r w:rsidR="00260EEA">
        <w:t>such that</w:t>
      </w:r>
      <w:r w:rsidR="008A1A60">
        <w:t>:</w:t>
      </w:r>
    </w:p>
    <w:p w14:paraId="1D6799F4" w14:textId="6DB5643E" w:rsidR="00260EEA" w:rsidRPr="00596613" w:rsidRDefault="00D933AA" w:rsidP="00437611">
      <w:pPr>
        <w:rPr>
          <w:i/>
          <w:iCs/>
        </w:rPr>
      </w:pPr>
      <w:r w:rsidRPr="00596613">
        <w:rPr>
          <w:i/>
          <w:iCs/>
        </w:rPr>
        <w:t xml:space="preserve">Category NB1 and NB2 UE shall fulfil the minimum requirement specified in Table 7.5B-1 for all values of an adjacent channel interferer up to </w:t>
      </w:r>
      <w:r w:rsidRPr="00596613">
        <w:rPr>
          <w:rFonts w:eastAsia="MS Mincho"/>
          <w:i/>
          <w:iCs/>
        </w:rPr>
        <w:t>-40</w:t>
      </w:r>
      <w:r w:rsidRPr="00596613">
        <w:rPr>
          <w:i/>
          <w:iCs/>
        </w:rPr>
        <w:t xml:space="preserve"> dBm.</w:t>
      </w:r>
      <w:r w:rsidR="00260EEA" w:rsidRPr="00596613">
        <w:rPr>
          <w:i/>
          <w:iCs/>
        </w:rPr>
        <w:t xml:space="preserve">  </w:t>
      </w:r>
    </w:p>
    <w:p w14:paraId="552D549B" w14:textId="7999D241" w:rsidR="00260EEA" w:rsidRDefault="00260EEA" w:rsidP="00437611">
      <w:r>
        <w:t>This is in contrast with the default TN ACS requirements from TS 36.101, which state:</w:t>
      </w:r>
    </w:p>
    <w:p w14:paraId="130103AC" w14:textId="2DCB5CD7" w:rsidR="00437611" w:rsidRDefault="00437611" w:rsidP="00437611">
      <w:pPr>
        <w:rPr>
          <w:i/>
          <w:iCs/>
        </w:rPr>
      </w:pPr>
      <w:r w:rsidRPr="00260EEA">
        <w:rPr>
          <w:i/>
          <w:iCs/>
        </w:rPr>
        <w:t xml:space="preserve">Category NB1 and NB2 UE shall fulfil the minimum requirement specified in Table 7.5.1F-1 for all values of an adjacent channel interferer up to </w:t>
      </w:r>
      <w:r w:rsidRPr="00260EEA">
        <w:rPr>
          <w:rFonts w:eastAsia="MS Mincho"/>
          <w:i/>
          <w:iCs/>
        </w:rPr>
        <w:t>–</w:t>
      </w:r>
      <w:r w:rsidRPr="00260EEA">
        <w:rPr>
          <w:i/>
          <w:iCs/>
        </w:rPr>
        <w:t xml:space="preserve">25 </w:t>
      </w:r>
      <w:proofErr w:type="gramStart"/>
      <w:r w:rsidRPr="00260EEA">
        <w:rPr>
          <w:i/>
          <w:iCs/>
        </w:rPr>
        <w:t>dBm</w:t>
      </w:r>
      <w:proofErr w:type="gramEnd"/>
    </w:p>
    <w:p w14:paraId="0769F189" w14:textId="1B94F61D" w:rsidR="00596613" w:rsidRDefault="008A1A60" w:rsidP="00437611">
      <w:r>
        <w:t>A similar</w:t>
      </w:r>
      <w:r w:rsidR="00596613">
        <w:t xml:space="preserve"> discrepancy can be observed in the value for Maximum Input </w:t>
      </w:r>
      <w:r w:rsidR="00767877">
        <w:t>Level</w:t>
      </w:r>
      <w:r w:rsidR="00596613">
        <w:t>, which in TS 36.102 for NTN bands is captured as:</w:t>
      </w:r>
    </w:p>
    <w:p w14:paraId="2FD7225D" w14:textId="65FCDF05" w:rsidR="00596613" w:rsidRPr="00BC7A43" w:rsidRDefault="00BC7A43" w:rsidP="00437611">
      <w:pPr>
        <w:rPr>
          <w:i/>
          <w:iCs/>
        </w:rPr>
      </w:pPr>
      <w:r w:rsidRPr="00BC7A43">
        <w:rPr>
          <w:i/>
          <w:iCs/>
        </w:rPr>
        <w:t>Category NB1 and NB2 UE maximum input level requirement is -40 dBm. For this input level the throughput shall be ≥ 95% of the maximum throughput of the reference measurement channel as specified in Annex A.3.2 of TS 36.101 [7].</w:t>
      </w:r>
    </w:p>
    <w:p w14:paraId="7EDD3164" w14:textId="7095BB51" w:rsidR="00BC7A43" w:rsidRDefault="00BC7A43" w:rsidP="00437611">
      <w:r>
        <w:t>This is again in contrast to the default TN Maximum Input Level value, which in TS 36.101 is:</w:t>
      </w:r>
    </w:p>
    <w:p w14:paraId="24091CF5" w14:textId="6F7CB6DF" w:rsidR="00BC7A43" w:rsidRPr="00242180" w:rsidRDefault="00242180" w:rsidP="00437611">
      <w:pPr>
        <w:rPr>
          <w:i/>
          <w:iCs/>
        </w:rPr>
      </w:pPr>
      <w:r w:rsidRPr="00242180">
        <w:rPr>
          <w:i/>
          <w:iCs/>
        </w:rPr>
        <w:t>Category NB1 and NB2</w:t>
      </w:r>
      <w:r w:rsidRPr="00242180">
        <w:rPr>
          <w:rFonts w:eastAsia="Malgun Gothic" w:hint="eastAsia"/>
          <w:i/>
          <w:iCs/>
        </w:rPr>
        <w:t xml:space="preserve"> </w:t>
      </w:r>
      <w:r w:rsidRPr="00242180">
        <w:rPr>
          <w:i/>
          <w:iCs/>
        </w:rPr>
        <w:t>UE maximum input level requirement is – 25 dBm. For this input level the throughput shall be ≥ 95% of the maximum throughput of the reference measurement channel as specified in Annex A.3.2.</w:t>
      </w:r>
    </w:p>
    <w:p w14:paraId="0A133143" w14:textId="72CD6184" w:rsidR="00260EEA" w:rsidRDefault="00260EEA" w:rsidP="00437611">
      <w:r>
        <w:t xml:space="preserve">This discrepancy in the </w:t>
      </w:r>
      <w:r w:rsidR="00242180">
        <w:t xml:space="preserve">ACS and Maximum Input Level could be in principle justified by the fact that NTN DL signals are expected to be weaker than TN signals, at the input of the UE receiver, and that the UE receiver implementation would bias its dynamic range to privilege the higher sensitivity, </w:t>
      </w:r>
      <w:proofErr w:type="gramStart"/>
      <w:r w:rsidR="00242180">
        <w:t>in order to</w:t>
      </w:r>
      <w:proofErr w:type="gramEnd"/>
      <w:r w:rsidR="00242180">
        <w:t xml:space="preserve"> capture lower power signals from NTN downlinks.</w:t>
      </w:r>
    </w:p>
    <w:p w14:paraId="778F3595" w14:textId="1CC11891" w:rsidR="00242180" w:rsidRDefault="00242180" w:rsidP="00437611">
      <w:r>
        <w:t>However, it can also be observed that, on the other hand, the REFSENS value is aligned for cat NB1 and NB2 for both TN and NTN bands, as can be seen by comparing TS 36.102 with TS 36.101</w:t>
      </w:r>
      <w:r w:rsidR="0044480F">
        <w:t>.</w:t>
      </w:r>
    </w:p>
    <w:p w14:paraId="1CB27E0D" w14:textId="1B1E9D1E" w:rsidR="0044480F" w:rsidRDefault="0044480F" w:rsidP="00437611">
      <w:r>
        <w:t>TS 36.102:</w:t>
      </w:r>
    </w:p>
    <w:p w14:paraId="1EAD09BD" w14:textId="77777777" w:rsidR="00415C1A" w:rsidRPr="002505AD" w:rsidRDefault="00415C1A" w:rsidP="00415C1A">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415C1A" w:rsidRPr="002505AD" w14:paraId="2D7C4545" w14:textId="77777777" w:rsidTr="00310608">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B607D" w14:textId="77777777" w:rsidR="00415C1A" w:rsidRPr="002505AD" w:rsidRDefault="00415C1A" w:rsidP="00310608">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F918A88" w14:textId="77777777" w:rsidR="00415C1A" w:rsidRPr="002505AD" w:rsidRDefault="00415C1A" w:rsidP="00310608">
            <w:pPr>
              <w:pStyle w:val="TAH"/>
              <w:rPr>
                <w:rFonts w:cs="Arial"/>
                <w:lang w:val="en-US" w:eastAsia="ja-JP"/>
              </w:rPr>
            </w:pPr>
            <w:r w:rsidRPr="002505AD">
              <w:rPr>
                <w:rFonts w:cs="Arial"/>
                <w:lang w:val="en-US" w:eastAsia="ja-JP"/>
              </w:rPr>
              <w:t>REFSENS [dBm]</w:t>
            </w:r>
          </w:p>
        </w:tc>
      </w:tr>
      <w:tr w:rsidR="00415C1A" w:rsidRPr="002505AD" w14:paraId="11FD04F3" w14:textId="77777777" w:rsidTr="00310608">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37A34F2" w14:textId="77777777" w:rsidR="00415C1A" w:rsidRPr="002505AD" w:rsidRDefault="00415C1A" w:rsidP="00310608">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524DE953" w14:textId="77777777" w:rsidR="00415C1A" w:rsidRPr="002505AD" w:rsidRDefault="00415C1A" w:rsidP="00310608">
            <w:pPr>
              <w:pStyle w:val="TAC"/>
              <w:rPr>
                <w:rFonts w:cs="Arial"/>
                <w:lang w:val="en-US" w:eastAsia="ja-JP"/>
              </w:rPr>
            </w:pPr>
            <w:r w:rsidRPr="002505AD">
              <w:rPr>
                <w:rFonts w:cs="Arial"/>
                <w:lang w:val="en-US" w:eastAsia="ja-JP"/>
              </w:rPr>
              <w:t>- 108.2</w:t>
            </w:r>
          </w:p>
        </w:tc>
      </w:tr>
    </w:tbl>
    <w:p w14:paraId="68814931" w14:textId="450EA47D" w:rsidR="00242180" w:rsidRDefault="0044480F" w:rsidP="00437611">
      <w:r>
        <w:t>TS 36.101:</w:t>
      </w:r>
    </w:p>
    <w:p w14:paraId="4BC76CA0" w14:textId="77777777" w:rsidR="0044480F" w:rsidRPr="001D386E" w:rsidRDefault="0044480F" w:rsidP="0044480F">
      <w:pPr>
        <w:pStyle w:val="TH"/>
      </w:pPr>
      <w:r w:rsidRPr="001D386E">
        <w:t>Table 7.3.1F.1-1: Reference sensitivity for UE category NB1 and NB2</w:t>
      </w:r>
    </w:p>
    <w:tbl>
      <w:tblPr>
        <w:tblW w:w="4100" w:type="dxa"/>
        <w:jc w:val="center"/>
        <w:tblLook w:val="04A0" w:firstRow="1" w:lastRow="0" w:firstColumn="1" w:lastColumn="0" w:noHBand="0" w:noVBand="1"/>
      </w:tblPr>
      <w:tblGrid>
        <w:gridCol w:w="2520"/>
        <w:gridCol w:w="1580"/>
      </w:tblGrid>
      <w:tr w:rsidR="0044480F" w:rsidRPr="001D386E" w14:paraId="412A8243" w14:textId="77777777" w:rsidTr="00310608">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F1057" w14:textId="77777777" w:rsidR="0044480F" w:rsidRPr="001D386E" w:rsidRDefault="0044480F" w:rsidP="00310608">
            <w:pPr>
              <w:pStyle w:val="TAH"/>
              <w:rPr>
                <w:rFonts w:cs="Arial"/>
                <w:lang w:val="en-US" w:eastAsia="ja-JP"/>
              </w:rPr>
            </w:pPr>
            <w:r w:rsidRPr="001D386E">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D42A7C2" w14:textId="77777777" w:rsidR="0044480F" w:rsidRPr="001D386E" w:rsidRDefault="0044480F" w:rsidP="00310608">
            <w:pPr>
              <w:pStyle w:val="TAH"/>
              <w:rPr>
                <w:rFonts w:cs="Arial"/>
                <w:lang w:val="en-US" w:eastAsia="ja-JP"/>
              </w:rPr>
            </w:pPr>
            <w:r w:rsidRPr="001D386E">
              <w:rPr>
                <w:rFonts w:cs="Arial"/>
                <w:lang w:val="en-US" w:eastAsia="ja-JP"/>
              </w:rPr>
              <w:t>REFSENS [dBm]</w:t>
            </w:r>
          </w:p>
        </w:tc>
      </w:tr>
      <w:tr w:rsidR="0044480F" w:rsidRPr="001D386E" w14:paraId="47386F34" w14:textId="77777777" w:rsidTr="00310608">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6D41471" w14:textId="77777777" w:rsidR="0044480F" w:rsidRPr="001D386E" w:rsidRDefault="0044480F" w:rsidP="00310608">
            <w:pPr>
              <w:pStyle w:val="TAC"/>
              <w:rPr>
                <w:rFonts w:cs="Arial"/>
                <w:lang w:val="en-US" w:eastAsia="ja-JP"/>
              </w:rPr>
            </w:pPr>
            <w:r w:rsidRPr="001D386E">
              <w:rPr>
                <w:rFonts w:eastAsia="Courier New" w:cs="Arial"/>
                <w:lang w:eastAsia="ja-JP"/>
              </w:rPr>
              <w:t>According to subclause 5.5F</w:t>
            </w:r>
          </w:p>
        </w:tc>
        <w:tc>
          <w:tcPr>
            <w:tcW w:w="1580" w:type="dxa"/>
            <w:tcBorders>
              <w:top w:val="nil"/>
              <w:left w:val="nil"/>
              <w:bottom w:val="single" w:sz="4" w:space="0" w:color="auto"/>
              <w:right w:val="single" w:sz="4" w:space="0" w:color="auto"/>
            </w:tcBorders>
            <w:shd w:val="clear" w:color="auto" w:fill="auto"/>
            <w:noWrap/>
            <w:vAlign w:val="center"/>
            <w:hideMark/>
          </w:tcPr>
          <w:p w14:paraId="6120ED32" w14:textId="77777777" w:rsidR="0044480F" w:rsidRPr="001D386E" w:rsidRDefault="0044480F" w:rsidP="00310608">
            <w:pPr>
              <w:pStyle w:val="TAC"/>
              <w:rPr>
                <w:rFonts w:cs="Arial"/>
                <w:lang w:val="en-US" w:eastAsia="ja-JP"/>
              </w:rPr>
            </w:pPr>
            <w:r w:rsidRPr="001D386E">
              <w:rPr>
                <w:rFonts w:cs="Arial"/>
                <w:lang w:val="en-US" w:eastAsia="ja-JP"/>
              </w:rPr>
              <w:t xml:space="preserve">- 108.2 </w:t>
            </w:r>
          </w:p>
        </w:tc>
      </w:tr>
    </w:tbl>
    <w:p w14:paraId="099C49C9" w14:textId="77777777" w:rsidR="0044480F" w:rsidRDefault="0044480F" w:rsidP="00437611"/>
    <w:p w14:paraId="78E01EEA" w14:textId="4B505924" w:rsidR="0044480F" w:rsidRDefault="0044480F" w:rsidP="00437611">
      <w:r>
        <w:lastRenderedPageBreak/>
        <w:t>This discrepancy in the treatment of ACS and Max Input Level requirements compared with REFSENS will inherently result in an NTN UE receiver that has significantly worse performance in the presence of interference, both from other NTN transmissions, as well as from TN interferers by being quickly driven into saturation, whilst at the same time not providing any additional benefit in terms of sensitivity.</w:t>
      </w:r>
    </w:p>
    <w:p w14:paraId="3167CDCE" w14:textId="1413C4FC" w:rsidR="0044480F" w:rsidRDefault="00FD161B" w:rsidP="00437611">
      <w:pPr>
        <w:rPr>
          <w:b/>
          <w:bCs/>
        </w:rPr>
      </w:pPr>
      <w:r>
        <w:rPr>
          <w:b/>
          <w:bCs/>
        </w:rPr>
        <w:t>Prop</w:t>
      </w:r>
      <w:r w:rsidR="00AC7CED">
        <w:rPr>
          <w:b/>
          <w:bCs/>
        </w:rPr>
        <w:t>o</w:t>
      </w:r>
      <w:r>
        <w:rPr>
          <w:b/>
          <w:bCs/>
        </w:rPr>
        <w:t xml:space="preserve">sal </w:t>
      </w:r>
      <w:r w:rsidR="00AC7CED">
        <w:rPr>
          <w:b/>
          <w:bCs/>
        </w:rPr>
        <w:t xml:space="preserve">3: For Band 253, consider </w:t>
      </w:r>
      <w:r w:rsidR="005435DC">
        <w:rPr>
          <w:b/>
          <w:bCs/>
        </w:rPr>
        <w:t>revisiting REFSENS, ACS and</w:t>
      </w:r>
      <w:r w:rsidR="00BC604B">
        <w:rPr>
          <w:b/>
          <w:bCs/>
        </w:rPr>
        <w:t xml:space="preserve"> Max Input Level values compared to</w:t>
      </w:r>
      <w:r w:rsidR="009810D1">
        <w:rPr>
          <w:b/>
          <w:bCs/>
        </w:rPr>
        <w:t xml:space="preserve"> what </w:t>
      </w:r>
      <w:r w:rsidR="00BC604B">
        <w:rPr>
          <w:b/>
          <w:bCs/>
        </w:rPr>
        <w:t xml:space="preserve">is </w:t>
      </w:r>
      <w:r w:rsidR="009810D1">
        <w:rPr>
          <w:b/>
          <w:bCs/>
        </w:rPr>
        <w:t>currently specified</w:t>
      </w:r>
      <w:r w:rsidR="005435DC">
        <w:rPr>
          <w:b/>
          <w:bCs/>
        </w:rPr>
        <w:t xml:space="preserve"> for other NTN bands</w:t>
      </w:r>
      <w:r w:rsidR="009810D1">
        <w:rPr>
          <w:b/>
          <w:bCs/>
        </w:rPr>
        <w:t xml:space="preserve"> in TS 36.102.</w:t>
      </w:r>
    </w:p>
    <w:p w14:paraId="1394E841" w14:textId="77777777" w:rsidR="008A33E3" w:rsidRPr="00FD161B" w:rsidRDefault="008A33E3" w:rsidP="00437611">
      <w:pPr>
        <w:rPr>
          <w:b/>
          <w:bCs/>
        </w:rPr>
      </w:pPr>
    </w:p>
    <w:p w14:paraId="08E67150" w14:textId="77777777" w:rsidR="00437611" w:rsidRPr="00437611" w:rsidRDefault="00437611" w:rsidP="00437611"/>
    <w:p w14:paraId="10F6602E" w14:textId="04986502" w:rsidR="007E1E78" w:rsidRDefault="00E21DFA" w:rsidP="0099327E">
      <w:pPr>
        <w:pStyle w:val="Heading1"/>
        <w:tabs>
          <w:tab w:val="num" w:pos="522"/>
        </w:tabs>
        <w:ind w:left="522" w:hanging="522"/>
        <w:rPr>
          <w:lang w:val="en-US"/>
        </w:rPr>
      </w:pPr>
      <w:r>
        <w:rPr>
          <w:lang w:val="en-US"/>
        </w:rPr>
        <w:t>UE Blocking Requirements</w:t>
      </w:r>
    </w:p>
    <w:p w14:paraId="12C735B3" w14:textId="49BEB939" w:rsidR="00DF37D5" w:rsidRDefault="00DF37D5" w:rsidP="001703E5">
      <w:pPr>
        <w:rPr>
          <w:lang w:val="en-US"/>
        </w:rPr>
      </w:pPr>
      <w:r>
        <w:rPr>
          <w:lang w:val="en-US"/>
        </w:rPr>
        <w:t>In this section we set out to provide further input on the UE receiver blocking requirements as recommended by ECCC Report 263 and 299.</w:t>
      </w:r>
    </w:p>
    <w:p w14:paraId="1DBE3E14" w14:textId="3A65BC49" w:rsidR="004C0699" w:rsidRDefault="00B93A7F" w:rsidP="001703E5">
      <w:pPr>
        <w:rPr>
          <w:lang w:val="en-US"/>
        </w:rPr>
      </w:pPr>
      <w:r>
        <w:rPr>
          <w:lang w:val="en-US"/>
        </w:rPr>
        <w:t xml:space="preserve">One thing that can be noted is that </w:t>
      </w:r>
      <w:r w:rsidR="00566347">
        <w:rPr>
          <w:lang w:val="en-US"/>
        </w:rPr>
        <w:t xml:space="preserve">there </w:t>
      </w:r>
      <w:r w:rsidR="00DF37D5">
        <w:rPr>
          <w:lang w:val="en-US"/>
        </w:rPr>
        <w:t>are</w:t>
      </w:r>
      <w:r w:rsidR="00566347">
        <w:rPr>
          <w:lang w:val="en-US"/>
        </w:rPr>
        <w:t xml:space="preserve"> </w:t>
      </w:r>
      <w:proofErr w:type="gramStart"/>
      <w:r w:rsidR="00566347">
        <w:rPr>
          <w:lang w:val="en-US"/>
        </w:rPr>
        <w:t>a number of</w:t>
      </w:r>
      <w:proofErr w:type="gramEnd"/>
      <w:r w:rsidR="00566347">
        <w:rPr>
          <w:lang w:val="en-US"/>
        </w:rPr>
        <w:t xml:space="preserve"> scenarios, where the UE will operate either in areas where there are no networks in the adjacent TN bands ending at 1517 MHz, or where the UE will operate far away enough from </w:t>
      </w:r>
      <w:r w:rsidR="00981C0B">
        <w:rPr>
          <w:lang w:val="en-US"/>
        </w:rPr>
        <w:t>TN base stations that the blocking signal levels will not be high enough to affect the receiver performance at all.</w:t>
      </w:r>
      <w:r w:rsidR="001A7678">
        <w:rPr>
          <w:lang w:val="en-US"/>
        </w:rPr>
        <w:t xml:space="preserve">  </w:t>
      </w:r>
    </w:p>
    <w:p w14:paraId="4E9FD070" w14:textId="4580D460" w:rsidR="003B4734" w:rsidRDefault="00DF0E16" w:rsidP="001703E5">
      <w:pPr>
        <w:rPr>
          <w:lang w:val="en-US"/>
        </w:rPr>
      </w:pPr>
      <w:r>
        <w:rPr>
          <w:lang w:val="en-US"/>
        </w:rPr>
        <w:t>In fact,</w:t>
      </w:r>
      <w:r w:rsidR="003B4734">
        <w:rPr>
          <w:lang w:val="en-US"/>
        </w:rPr>
        <w:t xml:space="preserve"> ECC Reports identify that also geographical separation can significantly reduce the interference levels into the </w:t>
      </w:r>
      <w:r w:rsidR="00D730B4">
        <w:rPr>
          <w:lang w:val="en-US"/>
        </w:rPr>
        <w:t>NTN UE, something that is also dependent on the environment affecting the channel model.</w:t>
      </w:r>
      <w:r w:rsidR="00973EDC">
        <w:rPr>
          <w:lang w:val="en-US"/>
        </w:rPr>
        <w:t xml:space="preserve">  In fact, for a </w:t>
      </w:r>
      <w:proofErr w:type="gramStart"/>
      <w:r w:rsidR="00973EDC">
        <w:rPr>
          <w:lang w:val="en-US"/>
        </w:rPr>
        <w:t>land based</w:t>
      </w:r>
      <w:proofErr w:type="gramEnd"/>
      <w:r w:rsidR="00973EDC">
        <w:rPr>
          <w:lang w:val="en-US"/>
        </w:rPr>
        <w:t xml:space="preserve"> </w:t>
      </w:r>
      <w:r w:rsidR="00FE4A01">
        <w:rPr>
          <w:lang w:val="en-US"/>
        </w:rPr>
        <w:t>UE (or Mobile Earth Station, MES, as referred in the report), a separation distance of slightly above 6 km is considered sufficient to mitigate the block</w:t>
      </w:r>
      <w:r w:rsidR="00F65B2A">
        <w:rPr>
          <w:lang w:val="en-US"/>
        </w:rPr>
        <w:t xml:space="preserve">ing effect.  </w:t>
      </w:r>
    </w:p>
    <w:p w14:paraId="350C3A77" w14:textId="1F2EA452" w:rsidR="00F65B2A" w:rsidRDefault="00F65B2A" w:rsidP="001703E5">
      <w:pPr>
        <w:rPr>
          <w:lang w:val="en-US"/>
        </w:rPr>
      </w:pPr>
      <w:r>
        <w:rPr>
          <w:noProof/>
        </w:rPr>
        <w:drawing>
          <wp:inline distT="0" distB="0" distL="0" distR="0" wp14:anchorId="5B62AAE4" wp14:editId="2D43205A">
            <wp:extent cx="6115685" cy="1302385"/>
            <wp:effectExtent l="38100" t="38100" r="94615" b="88265"/>
            <wp:docPr id="19" name="Picture 19"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close-up of a white background&#10;&#10;Description automatically generated"/>
                    <pic:cNvPicPr/>
                  </pic:nvPicPr>
                  <pic:blipFill>
                    <a:blip r:embed="rId11"/>
                    <a:stretch>
                      <a:fillRect/>
                    </a:stretch>
                  </pic:blipFill>
                  <pic:spPr>
                    <a:xfrm>
                      <a:off x="0" y="0"/>
                      <a:ext cx="6115685" cy="1302385"/>
                    </a:xfrm>
                    <a:prstGeom prst="rect">
                      <a:avLst/>
                    </a:prstGeom>
                    <a:effectLst>
                      <a:outerShdw blurRad="50800" dist="38100" dir="2700000" algn="tl" rotWithShape="0">
                        <a:prstClr val="black">
                          <a:alpha val="40000"/>
                        </a:prstClr>
                      </a:outerShdw>
                    </a:effectLst>
                  </pic:spPr>
                </pic:pic>
              </a:graphicData>
            </a:graphic>
          </wp:inline>
        </w:drawing>
      </w:r>
    </w:p>
    <w:p w14:paraId="43828962" w14:textId="1B78628C" w:rsidR="00A62E85" w:rsidRDefault="00AA23BD" w:rsidP="001703E5">
      <w:pPr>
        <w:rPr>
          <w:lang w:val="en-US"/>
        </w:rPr>
      </w:pPr>
      <w:r>
        <w:rPr>
          <w:lang w:val="en-US"/>
        </w:rPr>
        <w:t>I</w:t>
      </w:r>
      <w:r w:rsidR="00C3719D">
        <w:rPr>
          <w:lang w:val="en-US"/>
        </w:rPr>
        <w:t xml:space="preserve">n </w:t>
      </w:r>
      <w:r w:rsidR="0023353F">
        <w:rPr>
          <w:lang w:val="en-US"/>
        </w:rPr>
        <w:t xml:space="preserve">the FR1 NTN coexistence study phase, </w:t>
      </w:r>
      <w:r w:rsidR="00C3719D">
        <w:rPr>
          <w:lang w:val="en-US"/>
        </w:rPr>
        <w:t>1500 m</w:t>
      </w:r>
      <w:r w:rsidR="00076BD9">
        <w:rPr>
          <w:lang w:val="en-US"/>
        </w:rPr>
        <w:t xml:space="preserve"> geographical separation was assumed</w:t>
      </w:r>
      <w:r w:rsidR="00C3719D">
        <w:rPr>
          <w:lang w:val="en-US"/>
        </w:rPr>
        <w:t xml:space="preserve"> between NTN UE and edge of the TN coverage</w:t>
      </w:r>
      <w:r>
        <w:rPr>
          <w:lang w:val="en-US"/>
        </w:rPr>
        <w:t>.  That is different from the ECC Report 263, in which the geographical separation was calculated from the actual Base Station.  Th</w:t>
      </w:r>
      <w:r w:rsidR="005745AA">
        <w:rPr>
          <w:lang w:val="en-US"/>
        </w:rPr>
        <w:t xml:space="preserve">is means that the actual TN BS to NTN UE separation assumed during the NTN coexistence phase </w:t>
      </w:r>
      <w:r w:rsidR="00404FCE">
        <w:rPr>
          <w:lang w:val="en-US"/>
        </w:rPr>
        <w:t xml:space="preserve">in TR 38.863 </w:t>
      </w:r>
      <w:r w:rsidR="005745AA">
        <w:rPr>
          <w:lang w:val="en-US"/>
        </w:rPr>
        <w:t xml:space="preserve">should be read as </w:t>
      </w:r>
      <w:r w:rsidR="00677BF1">
        <w:rPr>
          <w:lang w:val="en-US"/>
        </w:rPr>
        <w:t xml:space="preserve">[TN cell radius] + 1500 m, which may well result in a larger value than </w:t>
      </w:r>
      <w:r w:rsidR="001E590C">
        <w:rPr>
          <w:lang w:val="en-US"/>
        </w:rPr>
        <w:t>the 6100 m identified by ECC Report 263 for Land MES.</w:t>
      </w:r>
      <w:r w:rsidR="00404FCE">
        <w:rPr>
          <w:lang w:val="en-US"/>
        </w:rPr>
        <w:t xml:space="preserve">   </w:t>
      </w:r>
      <w:r w:rsidR="00173DF0">
        <w:rPr>
          <w:lang w:val="en-US"/>
        </w:rPr>
        <w:t>In fact, for low gain Land MES, the separation distance at which the interference levels become acceptable is 5000 m.</w:t>
      </w:r>
      <w:r w:rsidR="006B70F3">
        <w:rPr>
          <w:lang w:val="en-US"/>
        </w:rPr>
        <w:t xml:space="preserve">  </w:t>
      </w:r>
    </w:p>
    <w:p w14:paraId="210DAE1A" w14:textId="6C95E5FD" w:rsidR="00173DF0" w:rsidRDefault="00A62E85" w:rsidP="001703E5">
      <w:pPr>
        <w:rPr>
          <w:lang w:val="en-US"/>
        </w:rPr>
      </w:pPr>
      <w:r>
        <w:rPr>
          <w:lang w:val="en-US"/>
        </w:rPr>
        <w:t xml:space="preserve">For example, </w:t>
      </w:r>
      <w:r w:rsidR="009F5CD4">
        <w:rPr>
          <w:lang w:val="en-US"/>
        </w:rPr>
        <w:t>TR 38.863 TN deployment assumptions for Rural in fact assume a 7500 m ISD</w:t>
      </w:r>
      <w:r w:rsidR="005844B9">
        <w:rPr>
          <w:lang w:val="en-US"/>
        </w:rPr>
        <w:t xml:space="preserve">, which would roughly convert to a </w:t>
      </w:r>
      <w:r w:rsidR="005849B5">
        <w:rPr>
          <w:lang w:val="en-US"/>
        </w:rPr>
        <w:t>3750 m cell radius</w:t>
      </w:r>
      <w:r>
        <w:rPr>
          <w:lang w:val="en-US"/>
        </w:rPr>
        <w:t xml:space="preserve">, which, when </w:t>
      </w:r>
      <w:r w:rsidR="00E13E4D">
        <w:rPr>
          <w:lang w:val="en-US"/>
        </w:rPr>
        <w:t xml:space="preserve">adding the 1500 m geographical isolation assumed in the TR, </w:t>
      </w:r>
      <w:r w:rsidR="00001768">
        <w:rPr>
          <w:lang w:val="en-US"/>
        </w:rPr>
        <w:t xml:space="preserve">would in fact yield </w:t>
      </w:r>
      <w:r w:rsidR="00D4728D">
        <w:rPr>
          <w:lang w:val="en-US"/>
        </w:rPr>
        <w:t xml:space="preserve">a total separation distance between TN BS and NTN UE of </w:t>
      </w:r>
      <w:r w:rsidR="00001768">
        <w:rPr>
          <w:lang w:val="en-US"/>
        </w:rPr>
        <w:t>5</w:t>
      </w:r>
      <w:r w:rsidR="00D4728D">
        <w:rPr>
          <w:lang w:val="en-US"/>
        </w:rPr>
        <w:t xml:space="preserve">250 m, sufficient to meet the ECC Report 263 </w:t>
      </w:r>
      <w:r w:rsidR="00915D12">
        <w:rPr>
          <w:lang w:val="en-US"/>
        </w:rPr>
        <w:t>suggested value at 1 MHz frequency separation at least for low-gain Land UE, which would align with a typical smartphone or IoT NTN use case.</w:t>
      </w:r>
      <w:r w:rsidR="00D4728D">
        <w:rPr>
          <w:lang w:val="en-US"/>
        </w:rPr>
        <w:t xml:space="preserve"> </w:t>
      </w:r>
    </w:p>
    <w:p w14:paraId="589FA468" w14:textId="09E190C1" w:rsidR="00173DF0" w:rsidRDefault="00D77D2E" w:rsidP="00D77D2E">
      <w:pPr>
        <w:jc w:val="center"/>
        <w:rPr>
          <w:lang w:val="en-US"/>
        </w:rPr>
      </w:pPr>
      <w:r w:rsidRPr="00D77D2E">
        <w:rPr>
          <w:noProof/>
        </w:rPr>
        <w:lastRenderedPageBreak/>
        <w:drawing>
          <wp:inline distT="0" distB="0" distL="0" distR="0" wp14:anchorId="2D7AEE8B" wp14:editId="013B9100">
            <wp:extent cx="5284412" cy="2190910"/>
            <wp:effectExtent l="0" t="0" r="0" b="0"/>
            <wp:docPr id="21" name="Picture 2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table with numbers and text&#10;&#10;Description automatically generated"/>
                    <pic:cNvPicPr/>
                  </pic:nvPicPr>
                  <pic:blipFill>
                    <a:blip r:embed="rId12"/>
                    <a:stretch>
                      <a:fillRect/>
                    </a:stretch>
                  </pic:blipFill>
                  <pic:spPr>
                    <a:xfrm>
                      <a:off x="0" y="0"/>
                      <a:ext cx="5288133" cy="2192453"/>
                    </a:xfrm>
                    <a:prstGeom prst="rect">
                      <a:avLst/>
                    </a:prstGeom>
                  </pic:spPr>
                </pic:pic>
              </a:graphicData>
            </a:graphic>
          </wp:inline>
        </w:drawing>
      </w:r>
    </w:p>
    <w:p w14:paraId="6F31BBBF" w14:textId="70A23A2B" w:rsidR="00D77D2E" w:rsidRDefault="005F35DE" w:rsidP="001703E5">
      <w:pPr>
        <w:rPr>
          <w:lang w:val="en-US"/>
        </w:rPr>
      </w:pPr>
      <w:r>
        <w:rPr>
          <w:lang w:val="en-US"/>
        </w:rPr>
        <w:t>Whilst the interference from TN into NTN is and will be a very serious issue</w:t>
      </w:r>
      <w:r w:rsidR="006D36D5">
        <w:rPr>
          <w:lang w:val="en-US"/>
        </w:rPr>
        <w:t xml:space="preserve"> that may need to be re-examined further in the futu</w:t>
      </w:r>
      <w:r w:rsidR="00CF46C5">
        <w:rPr>
          <w:lang w:val="en-US"/>
        </w:rPr>
        <w:t>re</w:t>
      </w:r>
      <w:r>
        <w:rPr>
          <w:lang w:val="en-US"/>
        </w:rPr>
        <w:t xml:space="preserve">, </w:t>
      </w:r>
      <w:r w:rsidR="00033840">
        <w:rPr>
          <w:lang w:val="en-US"/>
        </w:rPr>
        <w:t>i</w:t>
      </w:r>
      <w:r w:rsidR="007768C5">
        <w:rPr>
          <w:lang w:val="en-US"/>
        </w:rPr>
        <w:t>f we consider the typical use case for a UE attaching to an NTN network</w:t>
      </w:r>
      <w:r w:rsidR="00CF46C5">
        <w:rPr>
          <w:lang w:val="en-US"/>
        </w:rPr>
        <w:t xml:space="preserve"> </w:t>
      </w:r>
      <w:r w:rsidR="007768C5">
        <w:rPr>
          <w:lang w:val="en-US"/>
        </w:rPr>
        <w:t xml:space="preserve">when the TN network is not available, </w:t>
      </w:r>
      <w:r w:rsidR="0091641F">
        <w:rPr>
          <w:lang w:val="en-US"/>
        </w:rPr>
        <w:t>a 5 km geographical separation</w:t>
      </w:r>
      <w:r w:rsidR="006B70F3">
        <w:rPr>
          <w:lang w:val="en-US"/>
        </w:rPr>
        <w:t xml:space="preserve"> is potentially reasonable at least for use cases such as smartphone and industrial IoT. </w:t>
      </w:r>
    </w:p>
    <w:p w14:paraId="243069E7" w14:textId="77777777" w:rsidR="00DF0E16" w:rsidRDefault="00DF0E16" w:rsidP="00DF0E16">
      <w:pPr>
        <w:rPr>
          <w:lang w:val="en-US"/>
        </w:rPr>
      </w:pPr>
      <w:r>
        <w:rPr>
          <w:lang w:val="en-US"/>
        </w:rPr>
        <w:t>However, in such cases, there may still be terrestrial networks that are operating at offsets further away from the UE DL, such as ending at 1512 MHz, which could affect the NTN UE DL receiver.  This is also highlighted by the ECC Reports, such as ECC Report 263:</w:t>
      </w:r>
    </w:p>
    <w:p w14:paraId="28C8389B" w14:textId="1E7ABBD3" w:rsidR="00DF0E16" w:rsidRDefault="00DF0E16" w:rsidP="00DF0E16">
      <w:pPr>
        <w:jc w:val="center"/>
        <w:rPr>
          <w:lang w:val="en-US"/>
        </w:rPr>
      </w:pPr>
      <w:r w:rsidRPr="00135F44">
        <w:rPr>
          <w:noProof/>
        </w:rPr>
        <w:drawing>
          <wp:inline distT="0" distB="0" distL="0" distR="0" wp14:anchorId="01CB1BFE" wp14:editId="67FDA255">
            <wp:extent cx="5470954" cy="594755"/>
            <wp:effectExtent l="38100" t="38100" r="92075" b="914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04653" cy="598418"/>
                    </a:xfrm>
                    <a:prstGeom prst="rect">
                      <a:avLst/>
                    </a:prstGeom>
                    <a:effectLst>
                      <a:outerShdw blurRad="50800" dist="38100" dir="2700000" algn="tl" rotWithShape="0">
                        <a:prstClr val="black">
                          <a:alpha val="40000"/>
                        </a:prstClr>
                      </a:outerShdw>
                    </a:effectLst>
                  </pic:spPr>
                </pic:pic>
              </a:graphicData>
            </a:graphic>
          </wp:inline>
        </w:drawing>
      </w:r>
    </w:p>
    <w:p w14:paraId="2D14755A" w14:textId="570F1DAD" w:rsidR="00D77D2E" w:rsidRPr="005E628B" w:rsidRDefault="00033840" w:rsidP="001703E5">
      <w:pPr>
        <w:rPr>
          <w:lang w:val="en-US"/>
        </w:rPr>
      </w:pPr>
      <w:r>
        <w:rPr>
          <w:lang w:val="en-US"/>
        </w:rPr>
        <w:t xml:space="preserve">For future use cases such as mission-critical, vehicular, </w:t>
      </w:r>
      <w:proofErr w:type="gramStart"/>
      <w:r>
        <w:rPr>
          <w:lang w:val="en-US"/>
        </w:rPr>
        <w:t>maritime</w:t>
      </w:r>
      <w:proofErr w:type="gramEnd"/>
      <w:r>
        <w:rPr>
          <w:lang w:val="en-US"/>
        </w:rPr>
        <w:t xml:space="preserve"> and aeronautical, where </w:t>
      </w:r>
      <w:r w:rsidR="00350756">
        <w:rPr>
          <w:lang w:val="en-US"/>
        </w:rPr>
        <w:t>either a separation distance is not acceptable, or a higher gain antenna will be used, the problem will be more severe</w:t>
      </w:r>
      <w:r w:rsidR="00CF46C5">
        <w:rPr>
          <w:lang w:val="en-US"/>
        </w:rPr>
        <w:t xml:space="preserve"> and may need to be re-assessed.</w:t>
      </w:r>
    </w:p>
    <w:p w14:paraId="04814705" w14:textId="49C2A515" w:rsidR="00C57496" w:rsidRDefault="00611A01" w:rsidP="001703E5">
      <w:pPr>
        <w:rPr>
          <w:lang w:val="en-US"/>
        </w:rPr>
      </w:pPr>
      <w:r>
        <w:rPr>
          <w:lang w:val="en-US"/>
        </w:rPr>
        <w:t>F</w:t>
      </w:r>
      <w:r w:rsidR="00157939">
        <w:rPr>
          <w:lang w:val="en-US"/>
        </w:rPr>
        <w:t>or the time being,</w:t>
      </w:r>
      <w:r>
        <w:rPr>
          <w:lang w:val="en-US"/>
        </w:rPr>
        <w:t xml:space="preserve"> in line with the recommendations from ECC Report 263, and in cases where </w:t>
      </w:r>
      <w:r w:rsidR="007951ED">
        <w:rPr>
          <w:lang w:val="en-US"/>
        </w:rPr>
        <w:t xml:space="preserve">either </w:t>
      </w:r>
      <w:r>
        <w:rPr>
          <w:lang w:val="en-US"/>
        </w:rPr>
        <w:t xml:space="preserve">the separation distance cannot be </w:t>
      </w:r>
      <w:r w:rsidR="007951ED">
        <w:rPr>
          <w:lang w:val="en-US"/>
        </w:rPr>
        <w:t xml:space="preserve">fully </w:t>
      </w:r>
      <w:r>
        <w:rPr>
          <w:lang w:val="en-US"/>
        </w:rPr>
        <w:t>met</w:t>
      </w:r>
      <w:r w:rsidR="007951ED">
        <w:rPr>
          <w:lang w:val="en-US"/>
        </w:rPr>
        <w:t xml:space="preserve"> from TN carriers at 1 MHz away, or when dealing with TN carriers further away in frequency</w:t>
      </w:r>
      <w:r w:rsidR="00D01F2F">
        <w:rPr>
          <w:lang w:val="en-US"/>
        </w:rPr>
        <w:t>,</w:t>
      </w:r>
      <w:r w:rsidR="003F7AA1">
        <w:rPr>
          <w:lang w:val="en-US"/>
        </w:rPr>
        <w:t xml:space="preserve"> we consider a strong benefit in introducing blocking also at the 1518 MHz </w:t>
      </w:r>
      <w:r w:rsidR="000971F6">
        <w:rPr>
          <w:lang w:val="en-US"/>
        </w:rPr>
        <w:t>edge of the band</w:t>
      </w:r>
      <w:r w:rsidR="00D70CF6">
        <w:rPr>
          <w:lang w:val="en-US"/>
        </w:rPr>
        <w:t>, to address remaining out of band emissions from TN carriers further away from the</w:t>
      </w:r>
      <w:r w:rsidR="00DF0E16">
        <w:rPr>
          <w:lang w:val="en-US"/>
        </w:rPr>
        <w:t xml:space="preserve"> NTN UE</w:t>
      </w:r>
      <w:r w:rsidR="00D70CF6">
        <w:rPr>
          <w:lang w:val="en-US"/>
        </w:rPr>
        <w:t xml:space="preserve"> receiver</w:t>
      </w:r>
      <w:r w:rsidR="00135F44">
        <w:rPr>
          <w:lang w:val="en-US"/>
        </w:rPr>
        <w:t xml:space="preserve"> in either frequency or space</w:t>
      </w:r>
      <w:r w:rsidR="000971F6">
        <w:rPr>
          <w:lang w:val="en-US"/>
        </w:rPr>
        <w:t>.</w:t>
      </w:r>
    </w:p>
    <w:p w14:paraId="032658D4" w14:textId="77777777" w:rsidR="00E56D22" w:rsidRDefault="00226AF8" w:rsidP="00E56D22">
      <w:pPr>
        <w:keepNext/>
        <w:jc w:val="center"/>
      </w:pPr>
      <w:r>
        <w:rPr>
          <w:noProof/>
          <w:lang w:val="en-US"/>
        </w:rPr>
        <w:drawing>
          <wp:inline distT="0" distB="0" distL="0" distR="0" wp14:anchorId="2D87C504" wp14:editId="0E0A13B5">
            <wp:extent cx="3706924" cy="191535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2697" cy="1918334"/>
                    </a:xfrm>
                    <a:prstGeom prst="rect">
                      <a:avLst/>
                    </a:prstGeom>
                    <a:noFill/>
                  </pic:spPr>
                </pic:pic>
              </a:graphicData>
            </a:graphic>
          </wp:inline>
        </w:drawing>
      </w:r>
    </w:p>
    <w:p w14:paraId="1F5A8C3F" w14:textId="5DEE5D13" w:rsidR="006D13CB" w:rsidRDefault="00E56D22" w:rsidP="00E56D2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00311970">
        <w:t>T</w:t>
      </w:r>
      <w:r>
        <w:t>wo different TN BS transmission out of band emissions at 1 and 6 MHz offsets from the edge of the NTN band DL</w:t>
      </w:r>
      <w:r w:rsidR="00195647">
        <w:t xml:space="preserve">.  When the </w:t>
      </w:r>
      <w:r w:rsidR="00E233C0">
        <w:t xml:space="preserve">TN carrier is at 6 MHz away from the NTN carrier, either at 1512 or 1517 MHz, the NTN UE receiver benefits from enhanced blocking filter to </w:t>
      </w:r>
      <w:r w:rsidR="0062559A">
        <w:t>protect from remaining OOBE.</w:t>
      </w:r>
    </w:p>
    <w:p w14:paraId="271FBF64" w14:textId="4B440513" w:rsidR="006D13CB" w:rsidRDefault="006D13CB" w:rsidP="001703E5">
      <w:pPr>
        <w:rPr>
          <w:lang w:val="en-US"/>
        </w:rPr>
      </w:pPr>
      <w:r>
        <w:rPr>
          <w:lang w:val="en-US"/>
        </w:rPr>
        <w:t xml:space="preserve">We therefore propose an approach whereby, whilst maintaining a single operating band definition, based on which a common UE RF Rx frontend is expected to be developed, </w:t>
      </w:r>
      <w:r w:rsidR="00702F55">
        <w:rPr>
          <w:lang w:val="en-US"/>
        </w:rPr>
        <w:t>UE receiver blocking requirements are specified at two different frequency offsets.  One aligned with the edge of the band</w:t>
      </w:r>
      <w:r w:rsidR="005F0781">
        <w:rPr>
          <w:lang w:val="en-US"/>
        </w:rPr>
        <w:t xml:space="preserve"> at 1518 MHz</w:t>
      </w:r>
      <w:r w:rsidR="00702F55">
        <w:rPr>
          <w:lang w:val="en-US"/>
        </w:rPr>
        <w:t xml:space="preserve"> and thus</w:t>
      </w:r>
      <w:r w:rsidR="005F0781">
        <w:rPr>
          <w:lang w:val="en-US"/>
        </w:rPr>
        <w:t xml:space="preserve"> with the expected UE </w:t>
      </w:r>
      <w:r w:rsidR="00DF0E16">
        <w:rPr>
          <w:lang w:val="en-US"/>
        </w:rPr>
        <w:t>R</w:t>
      </w:r>
      <w:r w:rsidR="005F0781">
        <w:rPr>
          <w:lang w:val="en-US"/>
        </w:rPr>
        <w:t xml:space="preserve">X RF frontend filter, another one at a specific channel offset within the operating band, aligned with the 1520 MHz </w:t>
      </w:r>
      <w:r w:rsidR="006801B5">
        <w:rPr>
          <w:lang w:val="en-US"/>
        </w:rPr>
        <w:t>frequency point.</w:t>
      </w:r>
    </w:p>
    <w:p w14:paraId="0F3B371C" w14:textId="5FE04815" w:rsidR="00643438" w:rsidRDefault="00643438" w:rsidP="001703E5">
      <w:pPr>
        <w:rPr>
          <w:b/>
          <w:bCs/>
          <w:lang w:val="en-US"/>
        </w:rPr>
      </w:pPr>
      <w:r>
        <w:rPr>
          <w:b/>
          <w:bCs/>
          <w:lang w:val="en-US"/>
        </w:rPr>
        <w:lastRenderedPageBreak/>
        <w:t>Proposal</w:t>
      </w:r>
      <w:r w:rsidR="00EE0168">
        <w:rPr>
          <w:b/>
          <w:bCs/>
          <w:lang w:val="en-US"/>
        </w:rPr>
        <w:t xml:space="preserve"> </w:t>
      </w:r>
      <w:r w:rsidR="009810D1">
        <w:rPr>
          <w:b/>
          <w:bCs/>
          <w:lang w:val="en-US"/>
        </w:rPr>
        <w:t>4</w:t>
      </w:r>
      <w:r>
        <w:rPr>
          <w:b/>
          <w:bCs/>
          <w:lang w:val="en-US"/>
        </w:rPr>
        <w:t xml:space="preserve">:  Specify </w:t>
      </w:r>
      <w:r w:rsidR="00BC25A3">
        <w:rPr>
          <w:b/>
          <w:bCs/>
          <w:lang w:val="en-US"/>
        </w:rPr>
        <w:t>two different UE blocking requirements within the same operating band 253</w:t>
      </w:r>
      <w:r w:rsidR="005F412F">
        <w:rPr>
          <w:b/>
          <w:bCs/>
          <w:lang w:val="en-US"/>
        </w:rPr>
        <w:t xml:space="preserve">, one at the band edge of 1518 MHz, </w:t>
      </w:r>
      <w:r w:rsidR="00647324">
        <w:rPr>
          <w:b/>
          <w:bCs/>
          <w:lang w:val="en-US"/>
        </w:rPr>
        <w:t xml:space="preserve">expected to align with the </w:t>
      </w:r>
      <w:r w:rsidR="00346AEC">
        <w:rPr>
          <w:b/>
          <w:bCs/>
          <w:lang w:val="en-US"/>
        </w:rPr>
        <w:t xml:space="preserve">UE Rx RF frontend filter edge, another one at the appropriate channel offsets corresponding to the 1520 MHz frequency point.  </w:t>
      </w:r>
    </w:p>
    <w:p w14:paraId="639DA906" w14:textId="75BCFE14" w:rsidR="0027061E" w:rsidRDefault="000A4166" w:rsidP="001703E5">
      <w:pPr>
        <w:rPr>
          <w:lang w:val="en-US"/>
        </w:rPr>
      </w:pPr>
      <w:r>
        <w:rPr>
          <w:lang w:val="en-US"/>
        </w:rPr>
        <w:t xml:space="preserve">In terms of the values for the blocking requirements, it is important to </w:t>
      </w:r>
      <w:proofErr w:type="gramStart"/>
      <w:r>
        <w:rPr>
          <w:lang w:val="en-US"/>
        </w:rPr>
        <w:t>take into account</w:t>
      </w:r>
      <w:proofErr w:type="gramEnd"/>
      <w:r>
        <w:rPr>
          <w:lang w:val="en-US"/>
        </w:rPr>
        <w:t xml:space="preserve"> the assumed interferer values by the ECC Report 263</w:t>
      </w:r>
      <w:r w:rsidR="00112ACF">
        <w:rPr>
          <w:lang w:val="en-US"/>
        </w:rPr>
        <w:t xml:space="preserve"> for the corresponding frequency offsets:</w:t>
      </w:r>
    </w:p>
    <w:p w14:paraId="7387F02E" w14:textId="77777777" w:rsidR="00112ACF" w:rsidRPr="00A25BFD" w:rsidRDefault="00112ACF" w:rsidP="00112ACF">
      <w:pPr>
        <w:pStyle w:val="Caption"/>
      </w:pPr>
      <w:bookmarkStart w:id="0" w:name="_Ref458809514"/>
      <w:r w:rsidRPr="00A25BFD">
        <w:t xml:space="preserve">Table </w:t>
      </w:r>
      <w:r w:rsidRPr="00A25BFD">
        <w:fldChar w:fldCharType="begin"/>
      </w:r>
      <w:r w:rsidRPr="00A25BFD">
        <w:instrText xml:space="preserve"> SEQ Table \* ARABIC </w:instrText>
      </w:r>
      <w:r w:rsidRPr="00A25BFD">
        <w:fldChar w:fldCharType="separate"/>
      </w:r>
      <w:r>
        <w:rPr>
          <w:noProof/>
        </w:rPr>
        <w:t>8</w:t>
      </w:r>
      <w:r w:rsidRPr="00A25BFD">
        <w:fldChar w:fldCharType="end"/>
      </w:r>
      <w:bookmarkEnd w:id="0"/>
      <w:r w:rsidRPr="00A25BFD">
        <w:t xml:space="preserve">: Assumed blocking level for enhanced MES </w:t>
      </w:r>
      <w:proofErr w:type="gramStart"/>
      <w:r w:rsidRPr="00A25BFD">
        <w:t>receivers</w:t>
      </w:r>
      <w:proofErr w:type="gramEnd"/>
    </w:p>
    <w:tbl>
      <w:tblPr>
        <w:tblStyle w:val="ECCTable-redheader"/>
        <w:tblW w:w="0" w:type="auto"/>
        <w:tblInd w:w="0" w:type="dxa"/>
        <w:tblLook w:val="04A0" w:firstRow="1" w:lastRow="0" w:firstColumn="1" w:lastColumn="0" w:noHBand="0" w:noVBand="1"/>
      </w:tblPr>
      <w:tblGrid>
        <w:gridCol w:w="3043"/>
        <w:gridCol w:w="3495"/>
      </w:tblGrid>
      <w:tr w:rsidR="00112ACF" w:rsidRPr="00A25BFD" w14:paraId="3F861530" w14:textId="77777777" w:rsidTr="00310608">
        <w:trPr>
          <w:cnfStyle w:val="100000000000" w:firstRow="1" w:lastRow="0" w:firstColumn="0" w:lastColumn="0" w:oddVBand="0" w:evenVBand="0" w:oddHBand="0" w:evenHBand="0" w:firstRowFirstColumn="0" w:firstRowLastColumn="0" w:lastRowFirstColumn="0" w:lastRowLastColumn="0"/>
        </w:trPr>
        <w:tc>
          <w:tcPr>
            <w:tcW w:w="3043" w:type="dxa"/>
          </w:tcPr>
          <w:p w14:paraId="4115FBAA" w14:textId="77777777" w:rsidR="00112ACF" w:rsidRPr="00A25BFD" w:rsidRDefault="00112ACF" w:rsidP="00310608">
            <w:r w:rsidRPr="00A25BFD">
              <w:t xml:space="preserve">Frequency separation </w:t>
            </w:r>
            <w:r>
              <w:br/>
            </w:r>
            <w:r w:rsidRPr="00A25BFD">
              <w:t>between channel edges</w:t>
            </w:r>
          </w:p>
        </w:tc>
        <w:tc>
          <w:tcPr>
            <w:tcW w:w="3495" w:type="dxa"/>
          </w:tcPr>
          <w:p w14:paraId="0364726B" w14:textId="77777777" w:rsidR="00112ACF" w:rsidRPr="00A25BFD" w:rsidRDefault="00112ACF" w:rsidP="00310608">
            <w:r w:rsidRPr="00A25BFD">
              <w:t xml:space="preserve">Interference level </w:t>
            </w:r>
            <w:r>
              <w:br/>
            </w:r>
            <w:r w:rsidRPr="00A25BFD">
              <w:t>(at output of receiving antenna)</w:t>
            </w:r>
          </w:p>
        </w:tc>
      </w:tr>
      <w:tr w:rsidR="00112ACF" w:rsidRPr="00A25BFD" w14:paraId="35D8C4E8" w14:textId="77777777" w:rsidTr="00310608">
        <w:tc>
          <w:tcPr>
            <w:tcW w:w="3043" w:type="dxa"/>
          </w:tcPr>
          <w:p w14:paraId="15E7B39F" w14:textId="77777777" w:rsidR="00112ACF" w:rsidRPr="00A25BFD" w:rsidRDefault="00112ACF" w:rsidP="00310608">
            <w:r w:rsidRPr="00A25BFD">
              <w:t>1 MHz</w:t>
            </w:r>
          </w:p>
        </w:tc>
        <w:tc>
          <w:tcPr>
            <w:tcW w:w="3495" w:type="dxa"/>
          </w:tcPr>
          <w:p w14:paraId="74E2A4CA" w14:textId="77777777" w:rsidR="00112ACF" w:rsidRPr="00A25BFD" w:rsidRDefault="00112ACF" w:rsidP="00310608">
            <w:r w:rsidRPr="00A25BFD">
              <w:t>–55 to –45 dBm</w:t>
            </w:r>
          </w:p>
        </w:tc>
      </w:tr>
      <w:tr w:rsidR="00112ACF" w:rsidRPr="00A25BFD" w14:paraId="0C089D76" w14:textId="77777777" w:rsidTr="00310608">
        <w:tc>
          <w:tcPr>
            <w:tcW w:w="3043" w:type="dxa"/>
          </w:tcPr>
          <w:p w14:paraId="5806C4EF" w14:textId="77777777" w:rsidR="00112ACF" w:rsidRPr="00A25BFD" w:rsidRDefault="00112ACF" w:rsidP="00310608">
            <w:r w:rsidRPr="00A25BFD">
              <w:t>3 MHz</w:t>
            </w:r>
          </w:p>
        </w:tc>
        <w:tc>
          <w:tcPr>
            <w:tcW w:w="3495" w:type="dxa"/>
          </w:tcPr>
          <w:p w14:paraId="16BDD7B3" w14:textId="77777777" w:rsidR="00112ACF" w:rsidRPr="00A25BFD" w:rsidRDefault="00112ACF" w:rsidP="00310608">
            <w:r w:rsidRPr="00A25BFD">
              <w:t>–35 to –30 dBm</w:t>
            </w:r>
          </w:p>
        </w:tc>
      </w:tr>
      <w:tr w:rsidR="00112ACF" w:rsidRPr="00A25BFD" w14:paraId="47BF402C" w14:textId="77777777" w:rsidTr="00310608">
        <w:tc>
          <w:tcPr>
            <w:tcW w:w="3043" w:type="dxa"/>
          </w:tcPr>
          <w:p w14:paraId="418D6A85" w14:textId="77777777" w:rsidR="00112ACF" w:rsidRPr="00A25BFD" w:rsidRDefault="00112ACF" w:rsidP="00310608">
            <w:r w:rsidRPr="00A25BFD">
              <w:t>6 MHz</w:t>
            </w:r>
          </w:p>
        </w:tc>
        <w:tc>
          <w:tcPr>
            <w:tcW w:w="3495" w:type="dxa"/>
          </w:tcPr>
          <w:p w14:paraId="693C4210" w14:textId="77777777" w:rsidR="00112ACF" w:rsidRPr="00A25BFD" w:rsidRDefault="00112ACF" w:rsidP="00310608">
            <w:r w:rsidRPr="00A25BFD">
              <w:t>–30 to –25 dBm</w:t>
            </w:r>
          </w:p>
        </w:tc>
      </w:tr>
    </w:tbl>
    <w:p w14:paraId="4A13C561" w14:textId="77777777" w:rsidR="00112ACF" w:rsidRDefault="00112ACF" w:rsidP="001703E5">
      <w:pPr>
        <w:rPr>
          <w:lang w:val="en-US"/>
        </w:rPr>
      </w:pPr>
    </w:p>
    <w:p w14:paraId="499D7F22" w14:textId="0F715A4A" w:rsidR="00112ACF" w:rsidRDefault="00112ACF" w:rsidP="001703E5">
      <w:pPr>
        <w:rPr>
          <w:lang w:val="en-US"/>
        </w:rPr>
      </w:pPr>
      <w:r>
        <w:rPr>
          <w:lang w:val="en-US"/>
        </w:rPr>
        <w:t>Taking also into account the expected</w:t>
      </w:r>
      <w:r w:rsidR="00E05D8B">
        <w:rPr>
          <w:lang w:val="en-US"/>
        </w:rPr>
        <w:t xml:space="preserve"> interferer value</w:t>
      </w:r>
      <w:r>
        <w:rPr>
          <w:lang w:val="en-US"/>
        </w:rPr>
        <w:t xml:space="preserve"> at the 1520 MHz offset</w:t>
      </w:r>
      <w:r w:rsidR="00E05D8B">
        <w:rPr>
          <w:lang w:val="en-US"/>
        </w:rPr>
        <w:t xml:space="preserve"> as recommended by the ECC Report</w:t>
      </w:r>
      <w:r>
        <w:rPr>
          <w:lang w:val="en-US"/>
        </w:rPr>
        <w:t>:</w:t>
      </w:r>
    </w:p>
    <w:p w14:paraId="72DB2C9B" w14:textId="77777777" w:rsidR="00E05D8B" w:rsidRPr="00E05D8B" w:rsidRDefault="00E05D8B" w:rsidP="00E05D8B">
      <w:pPr>
        <w:rPr>
          <w:i/>
          <w:iCs/>
        </w:rPr>
      </w:pPr>
      <w:r w:rsidRPr="00E05D8B">
        <w:rPr>
          <w:i/>
          <w:iCs/>
        </w:rPr>
        <w:t xml:space="preserve">Based on the </w:t>
      </w:r>
      <w:proofErr w:type="gramStart"/>
      <w:r w:rsidRPr="00E05D8B">
        <w:rPr>
          <w:i/>
          <w:iCs/>
        </w:rPr>
        <w:t>final results</w:t>
      </w:r>
      <w:proofErr w:type="gramEnd"/>
      <w:r w:rsidRPr="00E05D8B">
        <w:rPr>
          <w:i/>
          <w:iCs/>
        </w:rPr>
        <w:t xml:space="preserve"> of its compatibility studies, it is concluded that: </w:t>
      </w:r>
    </w:p>
    <w:p w14:paraId="5D4B23DA" w14:textId="77777777" w:rsidR="00E05D8B" w:rsidRPr="00E05D8B" w:rsidRDefault="00E05D8B" w:rsidP="00E05D8B">
      <w:pPr>
        <w:pStyle w:val="ECCBulletsLv2"/>
        <w:rPr>
          <w:i/>
          <w:iCs/>
        </w:rPr>
      </w:pPr>
      <w:r w:rsidRPr="00E05D8B">
        <w:rPr>
          <w:i/>
          <w:iCs/>
        </w:rPr>
        <w:t xml:space="preserve">the minimum in-band blocking characteristic for land mobile earth stations receivers from a 5 MHz broadband signal interferer (LTE) operating below 1518 MHz shall be </w:t>
      </w:r>
      <w:r w:rsidRPr="00E05D8B">
        <w:rPr>
          <w:rFonts w:cs="Arial"/>
          <w:i/>
          <w:iCs/>
        </w:rPr>
        <w:t>−</w:t>
      </w:r>
      <w:r w:rsidRPr="00E05D8B">
        <w:rPr>
          <w:i/>
          <w:iCs/>
        </w:rPr>
        <w:t>30dBm above 1520 MHz</w:t>
      </w:r>
      <w:r w:rsidRPr="00E05D8B">
        <w:rPr>
          <w:rStyle w:val="FootnoteReference"/>
          <w:i/>
          <w:iCs/>
        </w:rPr>
        <w:footnoteReference w:id="2"/>
      </w:r>
      <w:r w:rsidRPr="00E05D8B">
        <w:rPr>
          <w:i/>
          <w:iCs/>
        </w:rPr>
        <w:t>,</w:t>
      </w:r>
    </w:p>
    <w:p w14:paraId="65EA19C4" w14:textId="77777777" w:rsidR="009810D1" w:rsidRDefault="009810D1" w:rsidP="009810D1">
      <w:pPr>
        <w:rPr>
          <w:b/>
          <w:bCs/>
          <w:lang w:val="en-US"/>
        </w:rPr>
      </w:pPr>
    </w:p>
    <w:p w14:paraId="09118537" w14:textId="7F04CA41" w:rsidR="009810D1" w:rsidRPr="009810D1" w:rsidRDefault="00B83292" w:rsidP="009810D1">
      <w:pPr>
        <w:rPr>
          <w:b/>
          <w:bCs/>
          <w:lang w:val="en-US"/>
        </w:rPr>
      </w:pPr>
      <w:r w:rsidRPr="00B83292">
        <w:rPr>
          <w:b/>
          <w:bCs/>
          <w:lang w:val="en-US"/>
        </w:rPr>
        <w:t>Proposal</w:t>
      </w:r>
      <w:r>
        <w:rPr>
          <w:b/>
          <w:bCs/>
          <w:lang w:val="en-US"/>
        </w:rPr>
        <w:t xml:space="preserve"> </w:t>
      </w:r>
      <w:r w:rsidR="009810D1">
        <w:rPr>
          <w:b/>
          <w:bCs/>
          <w:lang w:val="en-US"/>
        </w:rPr>
        <w:t>5</w:t>
      </w:r>
      <w:r>
        <w:rPr>
          <w:b/>
          <w:bCs/>
          <w:lang w:val="en-US"/>
        </w:rPr>
        <w:t>: Use -30 dBm as the</w:t>
      </w:r>
      <w:r w:rsidR="009810D1">
        <w:rPr>
          <w:b/>
          <w:bCs/>
          <w:lang w:val="en-US"/>
        </w:rPr>
        <w:t xml:space="preserve"> </w:t>
      </w:r>
      <w:r>
        <w:rPr>
          <w:b/>
          <w:bCs/>
          <w:lang w:val="en-US"/>
        </w:rPr>
        <w:t xml:space="preserve">interferer </w:t>
      </w:r>
      <w:r w:rsidR="009810D1">
        <w:rPr>
          <w:b/>
          <w:bCs/>
          <w:lang w:val="en-US"/>
        </w:rPr>
        <w:t>level</w:t>
      </w:r>
      <w:r>
        <w:rPr>
          <w:b/>
          <w:bCs/>
          <w:lang w:val="en-US"/>
        </w:rPr>
        <w:t xml:space="preserve"> </w:t>
      </w:r>
      <w:r w:rsidR="009810D1">
        <w:rPr>
          <w:b/>
          <w:bCs/>
          <w:lang w:val="en-US"/>
        </w:rPr>
        <w:t xml:space="preserve">for UE In-band blocking requirements </w:t>
      </w:r>
      <w:r>
        <w:rPr>
          <w:b/>
          <w:bCs/>
          <w:lang w:val="en-US"/>
        </w:rPr>
        <w:t xml:space="preserve">at least for </w:t>
      </w:r>
      <w:r w:rsidR="009810D1">
        <w:rPr>
          <w:b/>
          <w:bCs/>
          <w:lang w:val="en-US"/>
        </w:rPr>
        <w:t>all cases considering</w:t>
      </w:r>
      <w:r>
        <w:rPr>
          <w:b/>
          <w:bCs/>
          <w:lang w:val="en-US"/>
        </w:rPr>
        <w:t xml:space="preserve"> </w:t>
      </w:r>
      <w:r w:rsidR="009810D1">
        <w:rPr>
          <w:b/>
          <w:bCs/>
          <w:lang w:val="en-US"/>
        </w:rPr>
        <w:t xml:space="preserve">an in-band </w:t>
      </w:r>
      <w:r>
        <w:rPr>
          <w:b/>
          <w:bCs/>
          <w:lang w:val="en-US"/>
        </w:rPr>
        <w:t>interferer</w:t>
      </w:r>
      <w:r w:rsidR="009810D1">
        <w:rPr>
          <w:b/>
          <w:bCs/>
          <w:lang w:val="en-US"/>
        </w:rPr>
        <w:t xml:space="preserve"> of 5 MHz channel BW</w:t>
      </w:r>
      <w:r>
        <w:rPr>
          <w:b/>
          <w:bCs/>
          <w:lang w:val="en-US"/>
        </w:rPr>
        <w:t xml:space="preserve"> located with center frequency at </w:t>
      </w:r>
      <w:r w:rsidR="001C1CAA">
        <w:rPr>
          <w:b/>
          <w:bCs/>
          <w:lang w:val="en-US"/>
        </w:rPr>
        <w:t xml:space="preserve">5.5 MHz offset </w:t>
      </w:r>
      <w:r w:rsidR="009810D1">
        <w:rPr>
          <w:b/>
          <w:bCs/>
          <w:lang w:val="en-US"/>
        </w:rPr>
        <w:t>from the NB-IoT DL channel edge.</w:t>
      </w:r>
    </w:p>
    <w:p w14:paraId="3B486306" w14:textId="77777777" w:rsidR="00E9647D" w:rsidRDefault="00E9647D" w:rsidP="001703E5">
      <w:pPr>
        <w:rPr>
          <w:lang w:val="en-US"/>
        </w:rPr>
      </w:pPr>
    </w:p>
    <w:p w14:paraId="3F8BEA58" w14:textId="0B5AFBA1" w:rsidR="009C37D0" w:rsidRDefault="00FA01C7" w:rsidP="009C37D0">
      <w:pPr>
        <w:pStyle w:val="Heading1"/>
        <w:tabs>
          <w:tab w:val="num" w:pos="522"/>
        </w:tabs>
        <w:ind w:left="522" w:hanging="522"/>
        <w:rPr>
          <w:lang w:val="en-US"/>
        </w:rPr>
      </w:pPr>
      <w:r>
        <w:rPr>
          <w:lang w:val="en-US"/>
        </w:rPr>
        <w:t>Conclusion</w:t>
      </w:r>
    </w:p>
    <w:p w14:paraId="5FCB70AC" w14:textId="369F47BF" w:rsidR="00155346" w:rsidRDefault="00155346" w:rsidP="00ED643D">
      <w:pPr>
        <w:rPr>
          <w:lang w:val="en-US"/>
        </w:rPr>
      </w:pPr>
      <w:r>
        <w:rPr>
          <w:lang w:val="en-US"/>
        </w:rPr>
        <w:t xml:space="preserve">In this paper we discuss </w:t>
      </w:r>
      <w:r w:rsidR="00DE7F89">
        <w:rPr>
          <w:lang w:val="en-US"/>
        </w:rPr>
        <w:t xml:space="preserve">additional UE </w:t>
      </w:r>
      <w:r w:rsidR="009810D1">
        <w:rPr>
          <w:lang w:val="en-US"/>
        </w:rPr>
        <w:t xml:space="preserve">requirements including </w:t>
      </w:r>
      <w:r w:rsidR="00DE7F89">
        <w:rPr>
          <w:lang w:val="en-US"/>
        </w:rPr>
        <w:t>blocking requirements</w:t>
      </w:r>
      <w:r w:rsidR="00693D20">
        <w:rPr>
          <w:lang w:val="en-US"/>
        </w:rPr>
        <w:t xml:space="preserve"> applicable to the Extended L-band:</w:t>
      </w:r>
    </w:p>
    <w:p w14:paraId="7FA24C8D" w14:textId="41667D2F" w:rsidR="00BC604B" w:rsidRPr="00BC604B" w:rsidRDefault="00BC604B" w:rsidP="00ED643D">
      <w:pPr>
        <w:rPr>
          <w:b/>
          <w:bCs/>
        </w:rPr>
      </w:pPr>
      <w:r>
        <w:rPr>
          <w:b/>
          <w:bCs/>
        </w:rPr>
        <w:t xml:space="preserve">Observation 1: Flexibility in allocating UL channels in respect to DL channels is extremely beneficial </w:t>
      </w:r>
      <w:proofErr w:type="gramStart"/>
      <w:r>
        <w:rPr>
          <w:b/>
          <w:bCs/>
        </w:rPr>
        <w:t>in order to</w:t>
      </w:r>
      <w:proofErr w:type="gramEnd"/>
      <w:r>
        <w:rPr>
          <w:b/>
          <w:bCs/>
        </w:rPr>
        <w:t xml:space="preserve"> accommodate deployment of NTN cells around existing services within the Band 253 frequency range.</w:t>
      </w:r>
    </w:p>
    <w:p w14:paraId="26A8EE9B" w14:textId="0AA56202" w:rsidR="00BC604B" w:rsidRDefault="00BC604B" w:rsidP="00BC604B">
      <w:pPr>
        <w:rPr>
          <w:b/>
          <w:bCs/>
        </w:rPr>
      </w:pPr>
      <w:r>
        <w:rPr>
          <w:b/>
          <w:bCs/>
        </w:rPr>
        <w:t>Observation 2: Given then large minimum TX-RX separation for Band 253 (-143 MHz), flexible TX-RX separation could be supported.</w:t>
      </w:r>
    </w:p>
    <w:p w14:paraId="773DB8A6" w14:textId="474B1672" w:rsidR="00BC604B" w:rsidRDefault="00BC604B" w:rsidP="00BC604B">
      <w:pPr>
        <w:rPr>
          <w:b/>
          <w:bCs/>
        </w:rPr>
      </w:pPr>
      <w:r>
        <w:rPr>
          <w:b/>
          <w:bCs/>
        </w:rPr>
        <w:t>Proposal 1: Agree on the following Default TX-RX separation, including NOTE 1:</w:t>
      </w:r>
    </w:p>
    <w:p w14:paraId="15E1BCA2" w14:textId="77777777" w:rsidR="00BC604B" w:rsidRPr="002505AD" w:rsidRDefault="00BC604B" w:rsidP="00BC604B">
      <w:pPr>
        <w:pStyle w:val="TH"/>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C604B" w:rsidRPr="002505AD" w14:paraId="58D37512" w14:textId="77777777" w:rsidTr="00310608">
        <w:trPr>
          <w:tblHeader/>
          <w:jc w:val="center"/>
        </w:trPr>
        <w:tc>
          <w:tcPr>
            <w:tcW w:w="2817" w:type="dxa"/>
          </w:tcPr>
          <w:p w14:paraId="100E3DF0" w14:textId="77777777" w:rsidR="00BC604B" w:rsidRPr="002505AD" w:rsidRDefault="00BC604B" w:rsidP="00310608">
            <w:pPr>
              <w:pStyle w:val="TAH"/>
              <w:rPr>
                <w:rFonts w:cs="Arial"/>
              </w:rPr>
            </w:pPr>
            <w:r w:rsidRPr="002505AD">
              <w:rPr>
                <w:rFonts w:cs="Arial"/>
              </w:rPr>
              <w:t>E-UTRA Operating Band</w:t>
            </w:r>
          </w:p>
        </w:tc>
        <w:tc>
          <w:tcPr>
            <w:tcW w:w="2693" w:type="dxa"/>
          </w:tcPr>
          <w:p w14:paraId="0D6AE4AD" w14:textId="77777777" w:rsidR="00BC604B" w:rsidRPr="002505AD" w:rsidRDefault="00BC604B" w:rsidP="00310608">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BC604B" w:rsidRPr="002505AD" w14:paraId="2A937B40" w14:textId="77777777" w:rsidTr="00310608">
        <w:trPr>
          <w:jc w:val="center"/>
        </w:trPr>
        <w:tc>
          <w:tcPr>
            <w:tcW w:w="2817" w:type="dxa"/>
          </w:tcPr>
          <w:p w14:paraId="433F2488" w14:textId="77777777" w:rsidR="00BC604B" w:rsidRPr="002505AD" w:rsidRDefault="00BC604B" w:rsidP="00310608">
            <w:pPr>
              <w:pStyle w:val="TAC"/>
              <w:rPr>
                <w:rFonts w:cs="Arial"/>
              </w:rPr>
            </w:pPr>
            <w:r w:rsidRPr="002505AD">
              <w:rPr>
                <w:rFonts w:cs="Arial"/>
              </w:rPr>
              <w:t>25</w:t>
            </w:r>
            <w:r>
              <w:rPr>
                <w:rFonts w:cs="Arial"/>
              </w:rPr>
              <w:t>3</w:t>
            </w:r>
          </w:p>
        </w:tc>
        <w:tc>
          <w:tcPr>
            <w:tcW w:w="2693" w:type="dxa"/>
          </w:tcPr>
          <w:p w14:paraId="68694BF2" w14:textId="77777777" w:rsidR="00BC604B" w:rsidRPr="002505AD" w:rsidRDefault="00BC604B" w:rsidP="00310608">
            <w:pPr>
              <w:pStyle w:val="TAC"/>
              <w:rPr>
                <w:rFonts w:cs="Arial"/>
              </w:rPr>
            </w:pPr>
            <w:r>
              <w:rPr>
                <w:rFonts w:cs="Arial"/>
              </w:rPr>
              <w:t>-</w:t>
            </w:r>
            <w:r w:rsidRPr="002505AD">
              <w:rPr>
                <w:rFonts w:cs="Arial"/>
              </w:rPr>
              <w:t>1</w:t>
            </w:r>
            <w:r>
              <w:rPr>
                <w:rFonts w:cs="Arial"/>
              </w:rPr>
              <w:t>5</w:t>
            </w:r>
            <w:r w:rsidRPr="002505AD">
              <w:rPr>
                <w:rFonts w:cs="Arial"/>
              </w:rPr>
              <w:t>0 MHz</w:t>
            </w:r>
          </w:p>
        </w:tc>
      </w:tr>
      <w:tr w:rsidR="00BC604B" w:rsidRPr="002505AD" w14:paraId="59F436E8" w14:textId="77777777" w:rsidTr="00310608">
        <w:trPr>
          <w:jc w:val="center"/>
        </w:trPr>
        <w:tc>
          <w:tcPr>
            <w:tcW w:w="5510" w:type="dxa"/>
            <w:gridSpan w:val="2"/>
          </w:tcPr>
          <w:p w14:paraId="76EC1525" w14:textId="77777777" w:rsidR="00BC604B" w:rsidRDefault="00BC604B" w:rsidP="00310608">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61989715" w14:textId="77777777" w:rsidR="00BC604B" w:rsidRDefault="00BC604B" w:rsidP="00BC604B">
      <w:pPr>
        <w:rPr>
          <w:b/>
          <w:bCs/>
        </w:rPr>
      </w:pPr>
    </w:p>
    <w:p w14:paraId="35F1F4FB" w14:textId="6EE4FBB1" w:rsidR="00BC604B" w:rsidRDefault="00BC604B" w:rsidP="00BC604B">
      <w:pPr>
        <w:rPr>
          <w:b/>
          <w:bCs/>
        </w:rPr>
      </w:pPr>
      <w:r>
        <w:rPr>
          <w:b/>
          <w:bCs/>
        </w:rPr>
        <w:t>Observation 3: When considering deployments in NGSO scenarios, there may be a need to accommodate additional Doppler in smaller offsets than the 100 kHz channel raster supported for IoT NTN LTE bands.</w:t>
      </w:r>
    </w:p>
    <w:p w14:paraId="3D845293" w14:textId="4192C08F" w:rsidR="00BC604B" w:rsidRDefault="00BC604B" w:rsidP="00BC604B">
      <w:pPr>
        <w:rPr>
          <w:b/>
          <w:bCs/>
        </w:rPr>
      </w:pPr>
      <w:r>
        <w:rPr>
          <w:b/>
          <w:bCs/>
        </w:rPr>
        <w:lastRenderedPageBreak/>
        <w:t>Proposal 2: Consider the following alternative options to support more flexible accommodation of IoT NTN channels around existing services and around additional guard bands in Band 253:</w:t>
      </w:r>
    </w:p>
    <w:p w14:paraId="1860A254" w14:textId="77777777" w:rsidR="00BC604B" w:rsidRDefault="00BC604B" w:rsidP="00BC604B">
      <w:pPr>
        <w:pStyle w:val="ListParagraph"/>
        <w:numPr>
          <w:ilvl w:val="0"/>
          <w:numId w:val="22"/>
        </w:numPr>
        <w:rPr>
          <w:b/>
          <w:bCs/>
        </w:rPr>
      </w:pPr>
      <w:r>
        <w:rPr>
          <w:b/>
          <w:bCs/>
        </w:rPr>
        <w:t>Option 1: Specify support for 50 kHz channel raster.</w:t>
      </w:r>
    </w:p>
    <w:p w14:paraId="51296E96" w14:textId="67FCB560" w:rsidR="00BC604B" w:rsidRPr="00BC604B" w:rsidRDefault="00BC604B" w:rsidP="00BC604B">
      <w:pPr>
        <w:pStyle w:val="ListParagraph"/>
        <w:numPr>
          <w:ilvl w:val="0"/>
          <w:numId w:val="22"/>
        </w:numPr>
        <w:rPr>
          <w:b/>
          <w:bCs/>
        </w:rPr>
      </w:pPr>
      <w:r>
        <w:rPr>
          <w:b/>
          <w:bCs/>
        </w:rPr>
        <w:t xml:space="preserve">Option 2: Specify support for non-zero </w:t>
      </w:r>
      <w:r w:rsidRPr="00AC7CED">
        <w:rPr>
          <w:rFonts w:eastAsia="SimSun"/>
          <w:b/>
          <w:bCs/>
        </w:rPr>
        <w:t>M</w:t>
      </w:r>
      <w:r w:rsidRPr="00AC7CED">
        <w:rPr>
          <w:rFonts w:eastAsia="SimSun"/>
          <w:b/>
          <w:bCs/>
          <w:vertAlign w:val="subscript"/>
        </w:rPr>
        <w:t>DL</w:t>
      </w:r>
      <w:r w:rsidRPr="00AC7CED">
        <w:rPr>
          <w:b/>
          <w:bCs/>
        </w:rPr>
        <w:t xml:space="preserve"> </w:t>
      </w:r>
      <w:r>
        <w:rPr>
          <w:b/>
          <w:bCs/>
        </w:rPr>
        <w:t xml:space="preserve">values also for Anchor Carriers carrying NPSS/NSSS in stand-alone NB-IoT NTN </w:t>
      </w:r>
      <w:proofErr w:type="gramStart"/>
      <w:r>
        <w:rPr>
          <w:b/>
          <w:bCs/>
        </w:rPr>
        <w:t>deployment</w:t>
      </w:r>
      <w:proofErr w:type="gramEnd"/>
    </w:p>
    <w:p w14:paraId="49D75D69" w14:textId="33835A3C" w:rsidR="00BC604B" w:rsidRDefault="00BC604B" w:rsidP="00BC604B">
      <w:pPr>
        <w:rPr>
          <w:b/>
          <w:bCs/>
        </w:rPr>
      </w:pPr>
      <w:r>
        <w:rPr>
          <w:b/>
          <w:bCs/>
        </w:rPr>
        <w:t>Proposal 3: For Band 253, consider revisiting REFSENS, ACS and Max Input Level values compared to what is currently specified for other NTN bands in TS 36.102.</w:t>
      </w:r>
    </w:p>
    <w:p w14:paraId="6075B5A0" w14:textId="48573FF2" w:rsidR="009810D1" w:rsidRDefault="009810D1" w:rsidP="009810D1">
      <w:pPr>
        <w:rPr>
          <w:b/>
          <w:bCs/>
          <w:lang w:val="en-US"/>
        </w:rPr>
      </w:pPr>
      <w:r>
        <w:rPr>
          <w:b/>
          <w:bCs/>
          <w:lang w:val="en-US"/>
        </w:rPr>
        <w:t xml:space="preserve">Proposal 4:  Specify two different UE blocking requirements within the same operating band 253, one at the band edge of 1518 MHz, expected to align with the UE Rx RF frontend filter edge, another one at the appropriate channel offsets corresponding to the 1520 MHz frequency point.  </w:t>
      </w:r>
    </w:p>
    <w:p w14:paraId="135CE4D7" w14:textId="13A66646" w:rsidR="009810D1" w:rsidRPr="009810D1" w:rsidRDefault="00EE0168" w:rsidP="009810D1">
      <w:pPr>
        <w:rPr>
          <w:b/>
          <w:bCs/>
          <w:lang w:val="en-US"/>
        </w:rPr>
      </w:pPr>
      <w:r>
        <w:rPr>
          <w:b/>
          <w:bCs/>
          <w:lang w:val="en-US"/>
        </w:rPr>
        <w:t xml:space="preserve"> </w:t>
      </w:r>
      <w:r w:rsidR="009810D1" w:rsidRPr="00B83292">
        <w:rPr>
          <w:b/>
          <w:bCs/>
          <w:lang w:val="en-US"/>
        </w:rPr>
        <w:t>Proposal</w:t>
      </w:r>
      <w:r w:rsidR="009810D1">
        <w:rPr>
          <w:b/>
          <w:bCs/>
          <w:lang w:val="en-US"/>
        </w:rPr>
        <w:t xml:space="preserve"> </w:t>
      </w:r>
      <w:r w:rsidR="009810D1">
        <w:rPr>
          <w:b/>
          <w:bCs/>
          <w:lang w:val="en-US"/>
        </w:rPr>
        <w:t>5</w:t>
      </w:r>
      <w:r w:rsidR="009810D1">
        <w:rPr>
          <w:b/>
          <w:bCs/>
          <w:lang w:val="en-US"/>
        </w:rPr>
        <w:t>: Use -30 dBm as the interferer level for UE In-band blocking requirements at least for all cases considering an in-band interferer of 5 MHz channel BW located with center frequency at 5.5 MHz offset from the NB-IoT DL channel edge.</w:t>
      </w:r>
    </w:p>
    <w:p w14:paraId="524E2C12" w14:textId="6DC3DA54" w:rsidR="00EE0168" w:rsidRPr="00CE3890" w:rsidRDefault="00EE0168" w:rsidP="00EE0168">
      <w:pPr>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1" w:name="_Hlk859252"/>
      <w:r w:rsidRPr="00194F94">
        <w:rPr>
          <w:lang w:val="en-US" w:eastAsia="x-none"/>
        </w:rPr>
        <w:t>RP-230790, “New WID on Introduction of the Extended L-band (UL 1668-1675, DL 1518-1525) for IoT NTN,” Inmarsat</w:t>
      </w:r>
      <w:bookmarkEnd w:id="1"/>
    </w:p>
    <w:p w14:paraId="52120C64" w14:textId="2926BE2E" w:rsidR="00BA37D9" w:rsidRDefault="00FE2CF1" w:rsidP="001F2D1F">
      <w:pPr>
        <w:numPr>
          <w:ilvl w:val="0"/>
          <w:numId w:val="16"/>
        </w:numPr>
        <w:tabs>
          <w:tab w:val="num" w:pos="720"/>
          <w:tab w:val="left" w:pos="1080"/>
        </w:tabs>
        <w:rPr>
          <w:lang w:val="en-US" w:eastAsia="x-none"/>
        </w:rPr>
      </w:pPr>
      <w:r w:rsidRPr="00FE2CF1">
        <w:rPr>
          <w:lang w:val="en-US" w:eastAsia="x-none"/>
        </w:rPr>
        <w:t>R4-2306658</w:t>
      </w:r>
      <w:r>
        <w:rPr>
          <w:lang w:val="en-US" w:eastAsia="x-none"/>
        </w:rPr>
        <w:t xml:space="preserve">, </w:t>
      </w:r>
      <w:r w:rsidR="00CF3C34">
        <w:rPr>
          <w:lang w:val="en-US" w:eastAsia="x-none"/>
        </w:rPr>
        <w:t>“</w:t>
      </w:r>
      <w:r w:rsidR="00CF3C34" w:rsidRPr="00CF3C34">
        <w:rPr>
          <w:lang w:val="en-US" w:eastAsia="x-none"/>
        </w:rPr>
        <w:t>WF on IoT NTN Extended L-band</w:t>
      </w:r>
      <w:r w:rsidR="00CF3C34">
        <w:rPr>
          <w:lang w:val="en-US" w:eastAsia="x-none"/>
        </w:rPr>
        <w:t xml:space="preserve">”, </w:t>
      </w:r>
      <w:r w:rsidR="00715333" w:rsidRPr="00715333">
        <w:rPr>
          <w:lang w:val="en-US" w:eastAsia="x-none"/>
        </w:rPr>
        <w:t>Inmarsat</w:t>
      </w:r>
    </w:p>
    <w:p w14:paraId="009ED8A6" w14:textId="62D90559" w:rsidR="00194F94" w:rsidRDefault="00194F94" w:rsidP="001F2D1F">
      <w:pPr>
        <w:numPr>
          <w:ilvl w:val="0"/>
          <w:numId w:val="16"/>
        </w:numPr>
        <w:tabs>
          <w:tab w:val="num" w:pos="720"/>
          <w:tab w:val="left" w:pos="1080"/>
        </w:tabs>
        <w:rPr>
          <w:lang w:val="en-US" w:eastAsia="x-none"/>
        </w:rPr>
      </w:pPr>
      <w:r w:rsidRPr="00194F94">
        <w:rPr>
          <w:lang w:val="en-US" w:eastAsia="x-none"/>
        </w:rPr>
        <w:t xml:space="preserve">ECC Report 263, “Adjacent band compatibility studies between IMT operating in the frequency band 1492-1518 MHz and the MSS operating in the frequency band 1518-1552 MHz,” Approved 03 March 2017. </w:t>
      </w:r>
    </w:p>
    <w:p w14:paraId="3AAF236A" w14:textId="2AFA4B0C" w:rsidR="00CF14BC" w:rsidRPr="003D4F1F" w:rsidRDefault="00CF14BC" w:rsidP="003D4F1F">
      <w:pPr>
        <w:pStyle w:val="ListParagraph"/>
        <w:numPr>
          <w:ilvl w:val="0"/>
          <w:numId w:val="16"/>
        </w:numPr>
        <w:rPr>
          <w:lang w:val="en-US"/>
        </w:rPr>
      </w:pPr>
      <w:r w:rsidRPr="00CF14BC">
        <w:rPr>
          <w:lang w:val="en-US"/>
        </w:rPr>
        <w:t>ECC Report 299</w:t>
      </w:r>
      <w:r>
        <w:rPr>
          <w:lang w:val="en-US"/>
        </w:rPr>
        <w:t xml:space="preserve">, </w:t>
      </w:r>
      <w:r w:rsidR="00BA1641">
        <w:rPr>
          <w:lang w:val="en-US"/>
        </w:rPr>
        <w:t>“</w:t>
      </w:r>
      <w:r w:rsidR="003D4F1F" w:rsidRPr="003D4F1F">
        <w:rPr>
          <w:lang w:val="en-US"/>
        </w:rPr>
        <w:t>Measures to address potential blocking of MES operating in bands adjacent to 1518 MHz (including 1525-1559 MHz) at seaports and airports</w:t>
      </w:r>
      <w:r w:rsidR="00BA1641">
        <w:rPr>
          <w:lang w:val="en-US"/>
        </w:rPr>
        <w:t xml:space="preserve">”, </w:t>
      </w:r>
      <w:r w:rsidR="00BA1641" w:rsidRPr="00BA1641">
        <w:rPr>
          <w:lang w:val="en-US"/>
        </w:rPr>
        <w:t>Approved 8 March 2019</w:t>
      </w:r>
      <w:r w:rsidR="00BA1641">
        <w:rPr>
          <w:lang w:val="en-US"/>
        </w:rPr>
        <w:t>.</w:t>
      </w:r>
    </w:p>
    <w:p w14:paraId="6CFEEE95" w14:textId="291B860F" w:rsidR="00715333" w:rsidRDefault="00715333" w:rsidP="00715333">
      <w:pPr>
        <w:numPr>
          <w:ilvl w:val="0"/>
          <w:numId w:val="16"/>
        </w:numPr>
        <w:tabs>
          <w:tab w:val="num" w:pos="720"/>
          <w:tab w:val="left" w:pos="1080"/>
        </w:tabs>
        <w:rPr>
          <w:lang w:val="en-US" w:eastAsia="x-none"/>
        </w:rPr>
      </w:pPr>
      <w:r w:rsidRPr="00194F94">
        <w:rPr>
          <w:lang w:val="en-US" w:eastAsia="x-none"/>
        </w:rPr>
        <w:t xml:space="preserve">3GPP TR 38.863; Solutions for NR to support </w:t>
      </w:r>
      <w:proofErr w:type="spellStart"/>
      <w:r w:rsidRPr="00194F94">
        <w:rPr>
          <w:lang w:val="en-US" w:eastAsia="x-none"/>
        </w:rPr>
        <w:t>non-terrestrial</w:t>
      </w:r>
      <w:proofErr w:type="spellEnd"/>
      <w:r w:rsidRPr="00194F94">
        <w:rPr>
          <w:lang w:val="en-US" w:eastAsia="x-none"/>
        </w:rPr>
        <w:t xml:space="preserve"> networks (NTN): </w:t>
      </w:r>
      <w:proofErr w:type="spellStart"/>
      <w:r w:rsidRPr="00194F94">
        <w:rPr>
          <w:lang w:val="en-US" w:eastAsia="x-none"/>
        </w:rPr>
        <w:t>Non-terrestrial</w:t>
      </w:r>
      <w:proofErr w:type="spellEnd"/>
      <w:r w:rsidRPr="00194F94">
        <w:rPr>
          <w:lang w:val="en-US" w:eastAsia="x-none"/>
        </w:rPr>
        <w:t xml:space="preserve"> networks (NTN) related RF and co-existence aspects (Release 17)</w:t>
      </w:r>
    </w:p>
    <w:p w14:paraId="1FF2B502" w14:textId="099F599F" w:rsidR="000975A6" w:rsidRDefault="000975A6" w:rsidP="000975A6">
      <w:pPr>
        <w:numPr>
          <w:ilvl w:val="0"/>
          <w:numId w:val="16"/>
        </w:numPr>
        <w:tabs>
          <w:tab w:val="left" w:pos="1080"/>
        </w:tabs>
        <w:rPr>
          <w:lang w:val="en-US" w:eastAsia="x-none"/>
        </w:rPr>
      </w:pPr>
      <w:r w:rsidRPr="000975A6">
        <w:rPr>
          <w:lang w:val="en-US" w:eastAsia="x-none"/>
        </w:rPr>
        <w:t>ETSI EN 301 681 V2.1.2 (2016-11)</w:t>
      </w:r>
      <w:r>
        <w:rPr>
          <w:lang w:val="en-US" w:eastAsia="x-none"/>
        </w:rPr>
        <w:t xml:space="preserve">; </w:t>
      </w:r>
      <w:r w:rsidRPr="000975A6">
        <w:rPr>
          <w:lang w:val="en-US" w:eastAsia="x-none"/>
        </w:rPr>
        <w:t>Satellite Earth Stations and Systems (SES</w:t>
      </w:r>
      <w:proofErr w:type="gramStart"/>
      <w:r w:rsidRPr="000975A6">
        <w:rPr>
          <w:lang w:val="en-US" w:eastAsia="x-none"/>
        </w:rPr>
        <w:t>);</w:t>
      </w:r>
      <w:proofErr w:type="spellStart"/>
      <w:r w:rsidRPr="000975A6">
        <w:rPr>
          <w:lang w:val="en-US" w:eastAsia="x-none"/>
        </w:rPr>
        <w:t>Harmonised</w:t>
      </w:r>
      <w:proofErr w:type="spellEnd"/>
      <w:proofErr w:type="gramEnd"/>
      <w:r w:rsidRPr="000975A6">
        <w:rPr>
          <w:lang w:val="en-US" w:eastAsia="x-none"/>
        </w:rPr>
        <w:t xml:space="preserve"> Standard for Mobile Earth Stations (MES) of</w:t>
      </w:r>
      <w:r>
        <w:rPr>
          <w:lang w:val="en-US" w:eastAsia="x-none"/>
        </w:rPr>
        <w:t xml:space="preserve"> </w:t>
      </w:r>
      <w:r w:rsidRPr="000975A6">
        <w:rPr>
          <w:lang w:val="en-US" w:eastAsia="x-none"/>
        </w:rPr>
        <w:t>Geostationary mobile satellite systems, including handheld</w:t>
      </w:r>
      <w:r>
        <w:rPr>
          <w:lang w:val="en-US" w:eastAsia="x-none"/>
        </w:rPr>
        <w:t xml:space="preserve"> </w:t>
      </w:r>
      <w:r w:rsidRPr="000975A6">
        <w:rPr>
          <w:lang w:val="en-US" w:eastAsia="x-none"/>
        </w:rPr>
        <w:t>earth stations, for Satellite Personal Communications</w:t>
      </w:r>
      <w:r>
        <w:rPr>
          <w:lang w:val="en-US" w:eastAsia="x-none"/>
        </w:rPr>
        <w:t xml:space="preserve"> </w:t>
      </w:r>
      <w:r w:rsidRPr="000975A6">
        <w:rPr>
          <w:lang w:val="en-US" w:eastAsia="x-none"/>
        </w:rPr>
        <w:t>Networks (S-PCN) under the Mobile Satellite Service (MSS),</w:t>
      </w:r>
      <w:r>
        <w:rPr>
          <w:lang w:val="en-US" w:eastAsia="x-none"/>
        </w:rPr>
        <w:t xml:space="preserve"> </w:t>
      </w:r>
      <w:r w:rsidRPr="000975A6">
        <w:rPr>
          <w:lang w:val="en-US" w:eastAsia="x-none"/>
        </w:rPr>
        <w:t>operating in the 1,5 GHz and 1,6 GHz</w:t>
      </w:r>
      <w:r>
        <w:rPr>
          <w:lang w:val="en-US" w:eastAsia="x-none"/>
        </w:rPr>
        <w:t xml:space="preserve"> </w:t>
      </w:r>
      <w:r w:rsidRPr="000975A6">
        <w:rPr>
          <w:lang w:val="en-US" w:eastAsia="x-none"/>
        </w:rPr>
        <w:t>frequency bands covering the essential requirements</w:t>
      </w:r>
      <w:r>
        <w:rPr>
          <w:lang w:val="en-US" w:eastAsia="x-none"/>
        </w:rPr>
        <w:t xml:space="preserve"> </w:t>
      </w:r>
      <w:r w:rsidRPr="000975A6">
        <w:rPr>
          <w:lang w:val="en-US" w:eastAsia="x-none"/>
        </w:rPr>
        <w:t>of article 3.2 of the Directive 2014/53/EU</w:t>
      </w:r>
      <w:r>
        <w:rPr>
          <w:lang w:val="en-US" w:eastAsia="x-none"/>
        </w:rPr>
        <w:t>.</w:t>
      </w:r>
    </w:p>
    <w:p w14:paraId="66E4C3DA" w14:textId="48DDCC57" w:rsidR="00336340" w:rsidRDefault="00336340" w:rsidP="000975A6">
      <w:pPr>
        <w:numPr>
          <w:ilvl w:val="0"/>
          <w:numId w:val="16"/>
        </w:numPr>
        <w:tabs>
          <w:tab w:val="left" w:pos="1080"/>
        </w:tabs>
        <w:rPr>
          <w:lang w:val="en-US" w:eastAsia="x-none"/>
        </w:rPr>
      </w:pPr>
      <w:r>
        <w:rPr>
          <w:lang w:val="en-US" w:eastAsia="x-none"/>
        </w:rPr>
        <w:t>3GPP TS 36.101</w:t>
      </w:r>
    </w:p>
    <w:p w14:paraId="74299365" w14:textId="3FD6666A" w:rsidR="00336340" w:rsidRPr="000975A6" w:rsidRDefault="00336340" w:rsidP="000975A6">
      <w:pPr>
        <w:numPr>
          <w:ilvl w:val="0"/>
          <w:numId w:val="16"/>
        </w:numPr>
        <w:tabs>
          <w:tab w:val="left" w:pos="1080"/>
        </w:tabs>
        <w:rPr>
          <w:lang w:val="en-US" w:eastAsia="x-none"/>
        </w:rPr>
      </w:pPr>
      <w:r>
        <w:rPr>
          <w:lang w:val="en-US" w:eastAsia="x-none"/>
        </w:rPr>
        <w:t>3GPP TS 36.102</w:t>
      </w:r>
    </w:p>
    <w:p w14:paraId="5EED69D7" w14:textId="7AED673F" w:rsidR="00096587" w:rsidRDefault="00096587" w:rsidP="00194F94">
      <w:pPr>
        <w:tabs>
          <w:tab w:val="left" w:pos="1080"/>
        </w:tabs>
        <w:rPr>
          <w:lang w:val="en-US" w:eastAsia="x-none"/>
        </w:rPr>
      </w:pPr>
    </w:p>
    <w:sectPr w:rsidR="00096587" w:rsidSect="00521ED0">
      <w:footerReference w:type="even" r:id="rId15"/>
      <w:footerReference w:type="default" r:id="rId16"/>
      <w:footerReference w:type="firs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B0B2" w14:textId="77777777" w:rsidR="004F3505" w:rsidRDefault="004F3505">
      <w:r>
        <w:separator/>
      </w:r>
    </w:p>
  </w:endnote>
  <w:endnote w:type="continuationSeparator" w:id="0">
    <w:p w14:paraId="5FEE3758" w14:textId="77777777" w:rsidR="004F3505" w:rsidRDefault="004F3505">
      <w:r>
        <w:continuationSeparator/>
      </w:r>
    </w:p>
  </w:endnote>
  <w:endnote w:type="continuationNotice" w:id="1">
    <w:p w14:paraId="0AC948CE" w14:textId="77777777" w:rsidR="004F3505" w:rsidRDefault="004F3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07A2E4C8"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A581" w14:textId="77777777" w:rsidR="004F3505" w:rsidRDefault="004F3505">
      <w:r>
        <w:separator/>
      </w:r>
    </w:p>
  </w:footnote>
  <w:footnote w:type="continuationSeparator" w:id="0">
    <w:p w14:paraId="0ED54B2A" w14:textId="77777777" w:rsidR="004F3505" w:rsidRDefault="004F3505">
      <w:r>
        <w:continuationSeparator/>
      </w:r>
    </w:p>
  </w:footnote>
  <w:footnote w:type="continuationNotice" w:id="1">
    <w:p w14:paraId="5682FC7E" w14:textId="77777777" w:rsidR="004F3505" w:rsidRDefault="004F3505">
      <w:pPr>
        <w:spacing w:after="0"/>
      </w:pPr>
    </w:p>
  </w:footnote>
  <w:footnote w:id="2">
    <w:p w14:paraId="26AB519E" w14:textId="77777777" w:rsidR="00E05D8B" w:rsidRDefault="00E05D8B" w:rsidP="00E05D8B">
      <w:pPr>
        <w:pStyle w:val="FootnoteText"/>
      </w:pPr>
      <w:r>
        <w:rPr>
          <w:rStyle w:val="FootnoteReference"/>
        </w:rPr>
        <w:footnoteRef/>
      </w:r>
      <w:r>
        <w:t xml:space="preserve"> when the MES operates above 1520 MHz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5E0895"/>
    <w:multiLevelType w:val="hybridMultilevel"/>
    <w:tmpl w:val="F238147A"/>
    <w:lvl w:ilvl="0" w:tplc="10D62C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6"/>
  </w:num>
  <w:num w:numId="3" w16cid:durableId="30959319">
    <w:abstractNumId w:val="20"/>
  </w:num>
  <w:num w:numId="4" w16cid:durableId="1579515455">
    <w:abstractNumId w:val="21"/>
  </w:num>
  <w:num w:numId="5" w16cid:durableId="1213884486">
    <w:abstractNumId w:val="14"/>
  </w:num>
  <w:num w:numId="6" w16cid:durableId="895549640">
    <w:abstractNumId w:val="8"/>
  </w:num>
  <w:num w:numId="7" w16cid:durableId="1494643654">
    <w:abstractNumId w:val="2"/>
  </w:num>
  <w:num w:numId="8" w16cid:durableId="1777947175">
    <w:abstractNumId w:val="18"/>
  </w:num>
  <w:num w:numId="9" w16cid:durableId="461308997">
    <w:abstractNumId w:val="10"/>
  </w:num>
  <w:num w:numId="10" w16cid:durableId="1624651259">
    <w:abstractNumId w:val="12"/>
  </w:num>
  <w:num w:numId="11" w16cid:durableId="1362783709">
    <w:abstractNumId w:val="22"/>
  </w:num>
  <w:num w:numId="12" w16cid:durableId="1425344883">
    <w:abstractNumId w:val="7"/>
  </w:num>
  <w:num w:numId="13" w16cid:durableId="1491755988">
    <w:abstractNumId w:val="0"/>
  </w:num>
  <w:num w:numId="14" w16cid:durableId="1161502242">
    <w:abstractNumId w:val="17"/>
  </w:num>
  <w:num w:numId="15" w16cid:durableId="661813150">
    <w:abstractNumId w:val="6"/>
  </w:num>
  <w:num w:numId="16" w16cid:durableId="1286886139">
    <w:abstractNumId w:val="4"/>
  </w:num>
  <w:num w:numId="17" w16cid:durableId="343290742">
    <w:abstractNumId w:val="19"/>
  </w:num>
  <w:num w:numId="18" w16cid:durableId="1705055671">
    <w:abstractNumId w:val="9"/>
  </w:num>
  <w:num w:numId="19" w16cid:durableId="854222794">
    <w:abstractNumId w:val="15"/>
  </w:num>
  <w:num w:numId="20" w16cid:durableId="1400399105">
    <w:abstractNumId w:val="13"/>
  </w:num>
  <w:num w:numId="21" w16cid:durableId="377046260">
    <w:abstractNumId w:val="3"/>
  </w:num>
  <w:num w:numId="22" w16cid:durableId="1348680459">
    <w:abstractNumId w:val="5"/>
  </w:num>
  <w:num w:numId="23" w16cid:durableId="2164036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68"/>
    <w:rsid w:val="00001CD0"/>
    <w:rsid w:val="00001E00"/>
    <w:rsid w:val="000020E9"/>
    <w:rsid w:val="00002E5D"/>
    <w:rsid w:val="0000301D"/>
    <w:rsid w:val="000031C8"/>
    <w:rsid w:val="000032F9"/>
    <w:rsid w:val="00003326"/>
    <w:rsid w:val="00003883"/>
    <w:rsid w:val="000042A1"/>
    <w:rsid w:val="000044E8"/>
    <w:rsid w:val="00004852"/>
    <w:rsid w:val="00004A6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1E8"/>
    <w:rsid w:val="0001267B"/>
    <w:rsid w:val="00012960"/>
    <w:rsid w:val="00012B14"/>
    <w:rsid w:val="00012F79"/>
    <w:rsid w:val="00013086"/>
    <w:rsid w:val="000131B1"/>
    <w:rsid w:val="000138F3"/>
    <w:rsid w:val="00013A12"/>
    <w:rsid w:val="00013D64"/>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019"/>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840"/>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B9A"/>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0DEA"/>
    <w:rsid w:val="00060FEB"/>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AF2"/>
    <w:rsid w:val="00072C0D"/>
    <w:rsid w:val="00072C4C"/>
    <w:rsid w:val="00072E29"/>
    <w:rsid w:val="000735C0"/>
    <w:rsid w:val="000737DA"/>
    <w:rsid w:val="000748F8"/>
    <w:rsid w:val="00074EBA"/>
    <w:rsid w:val="00074F2C"/>
    <w:rsid w:val="0007555F"/>
    <w:rsid w:val="0007594C"/>
    <w:rsid w:val="00075AFE"/>
    <w:rsid w:val="00075B65"/>
    <w:rsid w:val="0007672D"/>
    <w:rsid w:val="00076BD9"/>
    <w:rsid w:val="00076DB9"/>
    <w:rsid w:val="000771C7"/>
    <w:rsid w:val="0007744C"/>
    <w:rsid w:val="00077FE0"/>
    <w:rsid w:val="000811DC"/>
    <w:rsid w:val="00081509"/>
    <w:rsid w:val="0008183B"/>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96F"/>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1F6"/>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166"/>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09EE"/>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3EC2"/>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E7E7A"/>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2ACF"/>
    <w:rsid w:val="001135B2"/>
    <w:rsid w:val="001135F5"/>
    <w:rsid w:val="00113626"/>
    <w:rsid w:val="00113700"/>
    <w:rsid w:val="001139A0"/>
    <w:rsid w:val="00113B01"/>
    <w:rsid w:val="00113C0D"/>
    <w:rsid w:val="00113D5F"/>
    <w:rsid w:val="0011401A"/>
    <w:rsid w:val="001148EE"/>
    <w:rsid w:val="00114BC8"/>
    <w:rsid w:val="00114D45"/>
    <w:rsid w:val="00114EF7"/>
    <w:rsid w:val="00115243"/>
    <w:rsid w:val="00115572"/>
    <w:rsid w:val="00116046"/>
    <w:rsid w:val="00116F6A"/>
    <w:rsid w:val="00116F74"/>
    <w:rsid w:val="001176B7"/>
    <w:rsid w:val="001219FC"/>
    <w:rsid w:val="00121C56"/>
    <w:rsid w:val="00121E72"/>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5F44"/>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939"/>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3DF0"/>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3ECF"/>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2BC"/>
    <w:rsid w:val="00194403"/>
    <w:rsid w:val="00194542"/>
    <w:rsid w:val="00194582"/>
    <w:rsid w:val="00194DEE"/>
    <w:rsid w:val="00194E91"/>
    <w:rsid w:val="00194F94"/>
    <w:rsid w:val="00195007"/>
    <w:rsid w:val="00195150"/>
    <w:rsid w:val="00195647"/>
    <w:rsid w:val="00195E87"/>
    <w:rsid w:val="00196782"/>
    <w:rsid w:val="001968A7"/>
    <w:rsid w:val="00197D1E"/>
    <w:rsid w:val="00197D53"/>
    <w:rsid w:val="00197D5B"/>
    <w:rsid w:val="001A0786"/>
    <w:rsid w:val="001A091D"/>
    <w:rsid w:val="001A0927"/>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678"/>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CAA"/>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4E78"/>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90C"/>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96D"/>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6AF8"/>
    <w:rsid w:val="002270DA"/>
    <w:rsid w:val="0022732E"/>
    <w:rsid w:val="002273B6"/>
    <w:rsid w:val="0022758E"/>
    <w:rsid w:val="00230A56"/>
    <w:rsid w:val="00230BEE"/>
    <w:rsid w:val="00230C94"/>
    <w:rsid w:val="00230EB7"/>
    <w:rsid w:val="00230EC6"/>
    <w:rsid w:val="00230EC9"/>
    <w:rsid w:val="00230FED"/>
    <w:rsid w:val="00231333"/>
    <w:rsid w:val="0023184F"/>
    <w:rsid w:val="0023187B"/>
    <w:rsid w:val="00231913"/>
    <w:rsid w:val="00231BD8"/>
    <w:rsid w:val="00232571"/>
    <w:rsid w:val="0023353F"/>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0D3"/>
    <w:rsid w:val="00240974"/>
    <w:rsid w:val="00240D6A"/>
    <w:rsid w:val="002411DB"/>
    <w:rsid w:val="002418D1"/>
    <w:rsid w:val="002420FA"/>
    <w:rsid w:val="00242180"/>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6E22"/>
    <w:rsid w:val="002571F0"/>
    <w:rsid w:val="00257344"/>
    <w:rsid w:val="002578CB"/>
    <w:rsid w:val="002579D1"/>
    <w:rsid w:val="00257D01"/>
    <w:rsid w:val="00257F31"/>
    <w:rsid w:val="00257F76"/>
    <w:rsid w:val="00260006"/>
    <w:rsid w:val="00260078"/>
    <w:rsid w:val="00260428"/>
    <w:rsid w:val="002604B0"/>
    <w:rsid w:val="00260833"/>
    <w:rsid w:val="00260EEA"/>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61E"/>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155"/>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1A1D"/>
    <w:rsid w:val="002921C4"/>
    <w:rsid w:val="0029239C"/>
    <w:rsid w:val="0029286C"/>
    <w:rsid w:val="00292923"/>
    <w:rsid w:val="002932EC"/>
    <w:rsid w:val="002933A0"/>
    <w:rsid w:val="00294E11"/>
    <w:rsid w:val="00295005"/>
    <w:rsid w:val="00296186"/>
    <w:rsid w:val="002961A6"/>
    <w:rsid w:val="00296448"/>
    <w:rsid w:val="00296B17"/>
    <w:rsid w:val="00296B7E"/>
    <w:rsid w:val="00296FCC"/>
    <w:rsid w:val="002976AF"/>
    <w:rsid w:val="00297836"/>
    <w:rsid w:val="00297AA9"/>
    <w:rsid w:val="002A0653"/>
    <w:rsid w:val="002A0942"/>
    <w:rsid w:val="002A129F"/>
    <w:rsid w:val="002A132A"/>
    <w:rsid w:val="002A1AD8"/>
    <w:rsid w:val="002A23C7"/>
    <w:rsid w:val="002A249A"/>
    <w:rsid w:val="002A2E43"/>
    <w:rsid w:val="002A38D4"/>
    <w:rsid w:val="002A3BFD"/>
    <w:rsid w:val="002A3CA4"/>
    <w:rsid w:val="002A3F15"/>
    <w:rsid w:val="002A3FDE"/>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84F"/>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7F9"/>
    <w:rsid w:val="002B6A74"/>
    <w:rsid w:val="002B6F2C"/>
    <w:rsid w:val="002B75CC"/>
    <w:rsid w:val="002B7883"/>
    <w:rsid w:val="002C034B"/>
    <w:rsid w:val="002C0E6F"/>
    <w:rsid w:val="002C1343"/>
    <w:rsid w:val="002C15A4"/>
    <w:rsid w:val="002C1A95"/>
    <w:rsid w:val="002C2368"/>
    <w:rsid w:val="002C24E6"/>
    <w:rsid w:val="002C260C"/>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970"/>
    <w:rsid w:val="00311D14"/>
    <w:rsid w:val="0031208B"/>
    <w:rsid w:val="00312A91"/>
    <w:rsid w:val="00312EF8"/>
    <w:rsid w:val="003138A2"/>
    <w:rsid w:val="00313F7D"/>
    <w:rsid w:val="00314585"/>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1E"/>
    <w:rsid w:val="003337D9"/>
    <w:rsid w:val="00333865"/>
    <w:rsid w:val="003338B4"/>
    <w:rsid w:val="00333F53"/>
    <w:rsid w:val="0033450A"/>
    <w:rsid w:val="003348EF"/>
    <w:rsid w:val="003359A3"/>
    <w:rsid w:val="00336340"/>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2E7"/>
    <w:rsid w:val="00343AE0"/>
    <w:rsid w:val="003443F9"/>
    <w:rsid w:val="003445DB"/>
    <w:rsid w:val="00344D9A"/>
    <w:rsid w:val="00344FE2"/>
    <w:rsid w:val="00345CDD"/>
    <w:rsid w:val="00345F62"/>
    <w:rsid w:val="00345FDB"/>
    <w:rsid w:val="00345FF9"/>
    <w:rsid w:val="0034613F"/>
    <w:rsid w:val="00346628"/>
    <w:rsid w:val="0034670C"/>
    <w:rsid w:val="00346AEC"/>
    <w:rsid w:val="00346BAD"/>
    <w:rsid w:val="00346D70"/>
    <w:rsid w:val="00346FFE"/>
    <w:rsid w:val="0034707D"/>
    <w:rsid w:val="00347822"/>
    <w:rsid w:val="00347867"/>
    <w:rsid w:val="003478F5"/>
    <w:rsid w:val="00347A4B"/>
    <w:rsid w:val="00347FF7"/>
    <w:rsid w:val="003503EA"/>
    <w:rsid w:val="0035071D"/>
    <w:rsid w:val="00350756"/>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26"/>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734"/>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AC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C7F4E"/>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0A8D"/>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AA1"/>
    <w:rsid w:val="00400048"/>
    <w:rsid w:val="004004FB"/>
    <w:rsid w:val="00400A7A"/>
    <w:rsid w:val="00400EC1"/>
    <w:rsid w:val="0040149D"/>
    <w:rsid w:val="00401E4A"/>
    <w:rsid w:val="004021FE"/>
    <w:rsid w:val="00402A31"/>
    <w:rsid w:val="00403F04"/>
    <w:rsid w:val="00404369"/>
    <w:rsid w:val="004045B3"/>
    <w:rsid w:val="00404FCE"/>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5C1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37611"/>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FB7"/>
    <w:rsid w:val="0044397D"/>
    <w:rsid w:val="00443FD4"/>
    <w:rsid w:val="004440FD"/>
    <w:rsid w:val="004445A4"/>
    <w:rsid w:val="0044480F"/>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2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1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A57"/>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505"/>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4FBF"/>
    <w:rsid w:val="005250F6"/>
    <w:rsid w:val="005254F6"/>
    <w:rsid w:val="00525E31"/>
    <w:rsid w:val="00525E5D"/>
    <w:rsid w:val="00526031"/>
    <w:rsid w:val="005266E8"/>
    <w:rsid w:val="00526D84"/>
    <w:rsid w:val="00526EDC"/>
    <w:rsid w:val="0052707B"/>
    <w:rsid w:val="005275D0"/>
    <w:rsid w:val="0052782A"/>
    <w:rsid w:val="0052785A"/>
    <w:rsid w:val="005279C9"/>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5DC"/>
    <w:rsid w:val="00543BDB"/>
    <w:rsid w:val="00543DEB"/>
    <w:rsid w:val="00543E5A"/>
    <w:rsid w:val="00544268"/>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B32"/>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532B"/>
    <w:rsid w:val="00565824"/>
    <w:rsid w:val="0056583B"/>
    <w:rsid w:val="00565866"/>
    <w:rsid w:val="0056591A"/>
    <w:rsid w:val="00566347"/>
    <w:rsid w:val="00566562"/>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45AA"/>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4B9"/>
    <w:rsid w:val="005845D5"/>
    <w:rsid w:val="005849B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BE1"/>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613"/>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C9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28B"/>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781"/>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5DE"/>
    <w:rsid w:val="005F3649"/>
    <w:rsid w:val="005F37AF"/>
    <w:rsid w:val="005F3CB3"/>
    <w:rsid w:val="005F3EB7"/>
    <w:rsid w:val="005F412F"/>
    <w:rsid w:val="005F4315"/>
    <w:rsid w:val="005F4518"/>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2EF"/>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A01"/>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245"/>
    <w:rsid w:val="0062340D"/>
    <w:rsid w:val="00623646"/>
    <w:rsid w:val="00623CCC"/>
    <w:rsid w:val="00623D8D"/>
    <w:rsid w:val="00623FDF"/>
    <w:rsid w:val="0062416F"/>
    <w:rsid w:val="006241B8"/>
    <w:rsid w:val="00624A10"/>
    <w:rsid w:val="00624C98"/>
    <w:rsid w:val="00624E83"/>
    <w:rsid w:val="00624FD9"/>
    <w:rsid w:val="006252F1"/>
    <w:rsid w:val="00625485"/>
    <w:rsid w:val="0062559A"/>
    <w:rsid w:val="00625715"/>
    <w:rsid w:val="006258FC"/>
    <w:rsid w:val="0062606D"/>
    <w:rsid w:val="006261CB"/>
    <w:rsid w:val="0062624E"/>
    <w:rsid w:val="006266D7"/>
    <w:rsid w:val="006268EE"/>
    <w:rsid w:val="00627237"/>
    <w:rsid w:val="00627366"/>
    <w:rsid w:val="006273B4"/>
    <w:rsid w:val="00627A76"/>
    <w:rsid w:val="00627FEB"/>
    <w:rsid w:val="006304F0"/>
    <w:rsid w:val="00630AAF"/>
    <w:rsid w:val="00630FB1"/>
    <w:rsid w:val="006312FE"/>
    <w:rsid w:val="00631561"/>
    <w:rsid w:val="0063190E"/>
    <w:rsid w:val="00631917"/>
    <w:rsid w:val="00631C81"/>
    <w:rsid w:val="00631DBE"/>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438"/>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1B6"/>
    <w:rsid w:val="00647324"/>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1F"/>
    <w:rsid w:val="0067642D"/>
    <w:rsid w:val="0067698A"/>
    <w:rsid w:val="00676C5E"/>
    <w:rsid w:val="00676DCA"/>
    <w:rsid w:val="00677165"/>
    <w:rsid w:val="006771D9"/>
    <w:rsid w:val="006773FE"/>
    <w:rsid w:val="006775CE"/>
    <w:rsid w:val="0067770C"/>
    <w:rsid w:val="00677A19"/>
    <w:rsid w:val="00677BA5"/>
    <w:rsid w:val="00677BF1"/>
    <w:rsid w:val="006801B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1B2B"/>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4B4D"/>
    <w:rsid w:val="006B503E"/>
    <w:rsid w:val="006B532A"/>
    <w:rsid w:val="006B58F5"/>
    <w:rsid w:val="006B5C1D"/>
    <w:rsid w:val="006B5DD2"/>
    <w:rsid w:val="006B5F15"/>
    <w:rsid w:val="006B5FD5"/>
    <w:rsid w:val="006B66DE"/>
    <w:rsid w:val="006B67E8"/>
    <w:rsid w:val="006B6836"/>
    <w:rsid w:val="006B69D5"/>
    <w:rsid w:val="006B6DAA"/>
    <w:rsid w:val="006B70F3"/>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3CB"/>
    <w:rsid w:val="006D1A7B"/>
    <w:rsid w:val="006D1F33"/>
    <w:rsid w:val="006D2020"/>
    <w:rsid w:val="006D32D6"/>
    <w:rsid w:val="006D36D5"/>
    <w:rsid w:val="006D3D0F"/>
    <w:rsid w:val="006D4101"/>
    <w:rsid w:val="006D4A36"/>
    <w:rsid w:val="006D4A70"/>
    <w:rsid w:val="006D5023"/>
    <w:rsid w:val="006D538E"/>
    <w:rsid w:val="006D54CC"/>
    <w:rsid w:val="006D5C25"/>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4F20"/>
    <w:rsid w:val="006E5206"/>
    <w:rsid w:val="006E5807"/>
    <w:rsid w:val="006E5BD1"/>
    <w:rsid w:val="006E6FE5"/>
    <w:rsid w:val="006E7595"/>
    <w:rsid w:val="006E778F"/>
    <w:rsid w:val="006E7859"/>
    <w:rsid w:val="006F0329"/>
    <w:rsid w:val="006F0ACE"/>
    <w:rsid w:val="006F1524"/>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55"/>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94A"/>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92E"/>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F90"/>
    <w:rsid w:val="007633E7"/>
    <w:rsid w:val="007635FF"/>
    <w:rsid w:val="007642EB"/>
    <w:rsid w:val="0076433C"/>
    <w:rsid w:val="007645AE"/>
    <w:rsid w:val="007646C3"/>
    <w:rsid w:val="00764ABF"/>
    <w:rsid w:val="00764DE5"/>
    <w:rsid w:val="00764F6B"/>
    <w:rsid w:val="00765328"/>
    <w:rsid w:val="00765B49"/>
    <w:rsid w:val="007663F2"/>
    <w:rsid w:val="007664C6"/>
    <w:rsid w:val="00766A38"/>
    <w:rsid w:val="00766CB7"/>
    <w:rsid w:val="00767356"/>
    <w:rsid w:val="0076787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8C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1ED"/>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529"/>
    <w:rsid w:val="007D276F"/>
    <w:rsid w:val="007D2899"/>
    <w:rsid w:val="007D3F01"/>
    <w:rsid w:val="007D4488"/>
    <w:rsid w:val="007D4554"/>
    <w:rsid w:val="007D4584"/>
    <w:rsid w:val="007D47CD"/>
    <w:rsid w:val="007D4D07"/>
    <w:rsid w:val="007D54C6"/>
    <w:rsid w:val="007D5806"/>
    <w:rsid w:val="007D5BC6"/>
    <w:rsid w:val="007D6346"/>
    <w:rsid w:val="007D6988"/>
    <w:rsid w:val="007D6CE6"/>
    <w:rsid w:val="007D6FC2"/>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C47"/>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ABE"/>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41"/>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716"/>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AC4"/>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8D1"/>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0BB"/>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A60"/>
    <w:rsid w:val="008A1EB8"/>
    <w:rsid w:val="008A1F15"/>
    <w:rsid w:val="008A2168"/>
    <w:rsid w:val="008A2610"/>
    <w:rsid w:val="008A2701"/>
    <w:rsid w:val="008A2832"/>
    <w:rsid w:val="008A33E3"/>
    <w:rsid w:val="008A4795"/>
    <w:rsid w:val="008A4B36"/>
    <w:rsid w:val="008A4C71"/>
    <w:rsid w:val="008A54B9"/>
    <w:rsid w:val="008A566E"/>
    <w:rsid w:val="008A7745"/>
    <w:rsid w:val="008A78BC"/>
    <w:rsid w:val="008A7C55"/>
    <w:rsid w:val="008A7D04"/>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4F"/>
    <w:rsid w:val="008F33AA"/>
    <w:rsid w:val="008F38FD"/>
    <w:rsid w:val="008F42BF"/>
    <w:rsid w:val="008F455D"/>
    <w:rsid w:val="008F4EFB"/>
    <w:rsid w:val="008F503E"/>
    <w:rsid w:val="008F532F"/>
    <w:rsid w:val="008F5B0A"/>
    <w:rsid w:val="008F5C51"/>
    <w:rsid w:val="008F5EA6"/>
    <w:rsid w:val="008F6101"/>
    <w:rsid w:val="008F647C"/>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12"/>
    <w:rsid w:val="00915E74"/>
    <w:rsid w:val="00916213"/>
    <w:rsid w:val="0091641F"/>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945"/>
    <w:rsid w:val="00956A61"/>
    <w:rsid w:val="00956B3E"/>
    <w:rsid w:val="00956CBF"/>
    <w:rsid w:val="00956CF8"/>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7B8"/>
    <w:rsid w:val="00972D53"/>
    <w:rsid w:val="00972F05"/>
    <w:rsid w:val="00973219"/>
    <w:rsid w:val="0097348A"/>
    <w:rsid w:val="0097388F"/>
    <w:rsid w:val="00973EDC"/>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0D1"/>
    <w:rsid w:val="009811F4"/>
    <w:rsid w:val="00981330"/>
    <w:rsid w:val="009814BA"/>
    <w:rsid w:val="009818F6"/>
    <w:rsid w:val="00981C0B"/>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573"/>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027"/>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587"/>
    <w:rsid w:val="009D3BD8"/>
    <w:rsid w:val="009D3C42"/>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A9D"/>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D4"/>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07893"/>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6CD"/>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563"/>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2E85"/>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BE"/>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3BD"/>
    <w:rsid w:val="00AA2A27"/>
    <w:rsid w:val="00AA3476"/>
    <w:rsid w:val="00AA397A"/>
    <w:rsid w:val="00AA397D"/>
    <w:rsid w:val="00AA3B54"/>
    <w:rsid w:val="00AA3D1F"/>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0E8D"/>
    <w:rsid w:val="00AB122A"/>
    <w:rsid w:val="00AB1254"/>
    <w:rsid w:val="00AB19DD"/>
    <w:rsid w:val="00AB1A37"/>
    <w:rsid w:val="00AB1AAE"/>
    <w:rsid w:val="00AB21F9"/>
    <w:rsid w:val="00AB243F"/>
    <w:rsid w:val="00AB3191"/>
    <w:rsid w:val="00AB374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CED"/>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EC4"/>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3ED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6BF4"/>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4F3"/>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86E"/>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1B56"/>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292"/>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A7F"/>
    <w:rsid w:val="00B93D6F"/>
    <w:rsid w:val="00B93E60"/>
    <w:rsid w:val="00B94097"/>
    <w:rsid w:val="00B94414"/>
    <w:rsid w:val="00B944C8"/>
    <w:rsid w:val="00B94657"/>
    <w:rsid w:val="00B94753"/>
    <w:rsid w:val="00B947A2"/>
    <w:rsid w:val="00B94B09"/>
    <w:rsid w:val="00B94C45"/>
    <w:rsid w:val="00B94DD0"/>
    <w:rsid w:val="00B94F52"/>
    <w:rsid w:val="00B9536D"/>
    <w:rsid w:val="00B95415"/>
    <w:rsid w:val="00B9579A"/>
    <w:rsid w:val="00B958FF"/>
    <w:rsid w:val="00B95AB8"/>
    <w:rsid w:val="00B9657C"/>
    <w:rsid w:val="00B96769"/>
    <w:rsid w:val="00B9699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AB1"/>
    <w:rsid w:val="00BB3C4A"/>
    <w:rsid w:val="00BB3CDA"/>
    <w:rsid w:val="00BB3CF1"/>
    <w:rsid w:val="00BB3D1D"/>
    <w:rsid w:val="00BB3DC2"/>
    <w:rsid w:val="00BB435F"/>
    <w:rsid w:val="00BB46FD"/>
    <w:rsid w:val="00BB4870"/>
    <w:rsid w:val="00BB4A68"/>
    <w:rsid w:val="00BB4D50"/>
    <w:rsid w:val="00BB5110"/>
    <w:rsid w:val="00BB5E43"/>
    <w:rsid w:val="00BB5EF6"/>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5A3"/>
    <w:rsid w:val="00BC2785"/>
    <w:rsid w:val="00BC2D4A"/>
    <w:rsid w:val="00BC2E2D"/>
    <w:rsid w:val="00BC3200"/>
    <w:rsid w:val="00BC3ABE"/>
    <w:rsid w:val="00BC3BE4"/>
    <w:rsid w:val="00BC4194"/>
    <w:rsid w:val="00BC4326"/>
    <w:rsid w:val="00BC4EA8"/>
    <w:rsid w:val="00BC4F08"/>
    <w:rsid w:val="00BC56BA"/>
    <w:rsid w:val="00BC5B9A"/>
    <w:rsid w:val="00BC5DC7"/>
    <w:rsid w:val="00BC604B"/>
    <w:rsid w:val="00BC61A9"/>
    <w:rsid w:val="00BC64E5"/>
    <w:rsid w:val="00BC67A2"/>
    <w:rsid w:val="00BC7117"/>
    <w:rsid w:val="00BC720D"/>
    <w:rsid w:val="00BC76A1"/>
    <w:rsid w:val="00BC7A43"/>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83D"/>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D13"/>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19D"/>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6B4"/>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496"/>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890"/>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C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2F"/>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28D"/>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0CF6"/>
    <w:rsid w:val="00D717A6"/>
    <w:rsid w:val="00D717E6"/>
    <w:rsid w:val="00D718C7"/>
    <w:rsid w:val="00D71FCA"/>
    <w:rsid w:val="00D730B4"/>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77D2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3AA"/>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18F"/>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5D5"/>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39FB"/>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16"/>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D5"/>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D8B"/>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4D"/>
    <w:rsid w:val="00E13EDC"/>
    <w:rsid w:val="00E141C0"/>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1DFA"/>
    <w:rsid w:val="00E2249B"/>
    <w:rsid w:val="00E233C0"/>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5FC"/>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D22"/>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59C"/>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A21"/>
    <w:rsid w:val="00E80CE5"/>
    <w:rsid w:val="00E812B8"/>
    <w:rsid w:val="00E81303"/>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1A"/>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2B3"/>
    <w:rsid w:val="00ED7E30"/>
    <w:rsid w:val="00EE0027"/>
    <w:rsid w:val="00EE0168"/>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E7FD6"/>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4FC2"/>
    <w:rsid w:val="00EF5243"/>
    <w:rsid w:val="00EF5D96"/>
    <w:rsid w:val="00EF5F75"/>
    <w:rsid w:val="00EF61F8"/>
    <w:rsid w:val="00EF638A"/>
    <w:rsid w:val="00EF6714"/>
    <w:rsid w:val="00EF6B9A"/>
    <w:rsid w:val="00EF6E13"/>
    <w:rsid w:val="00EF738A"/>
    <w:rsid w:val="00EF74F9"/>
    <w:rsid w:val="00EF75AD"/>
    <w:rsid w:val="00EF7C60"/>
    <w:rsid w:val="00F002E7"/>
    <w:rsid w:val="00F004B7"/>
    <w:rsid w:val="00F00AED"/>
    <w:rsid w:val="00F00C6A"/>
    <w:rsid w:val="00F00CB7"/>
    <w:rsid w:val="00F00F67"/>
    <w:rsid w:val="00F01AFB"/>
    <w:rsid w:val="00F01E60"/>
    <w:rsid w:val="00F023E8"/>
    <w:rsid w:val="00F02502"/>
    <w:rsid w:val="00F02647"/>
    <w:rsid w:val="00F0346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07D57"/>
    <w:rsid w:val="00F10921"/>
    <w:rsid w:val="00F1100C"/>
    <w:rsid w:val="00F11D0E"/>
    <w:rsid w:val="00F11D7F"/>
    <w:rsid w:val="00F12617"/>
    <w:rsid w:val="00F12E37"/>
    <w:rsid w:val="00F12FCC"/>
    <w:rsid w:val="00F1313D"/>
    <w:rsid w:val="00F135D9"/>
    <w:rsid w:val="00F138D8"/>
    <w:rsid w:val="00F138F1"/>
    <w:rsid w:val="00F139E5"/>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57CA5"/>
    <w:rsid w:val="00F60331"/>
    <w:rsid w:val="00F609D9"/>
    <w:rsid w:val="00F60A94"/>
    <w:rsid w:val="00F6167A"/>
    <w:rsid w:val="00F61733"/>
    <w:rsid w:val="00F6225F"/>
    <w:rsid w:val="00F622F3"/>
    <w:rsid w:val="00F6274A"/>
    <w:rsid w:val="00F62B53"/>
    <w:rsid w:val="00F62CBF"/>
    <w:rsid w:val="00F64049"/>
    <w:rsid w:val="00F645DF"/>
    <w:rsid w:val="00F65345"/>
    <w:rsid w:val="00F65B2A"/>
    <w:rsid w:val="00F65E8D"/>
    <w:rsid w:val="00F65FBB"/>
    <w:rsid w:val="00F66144"/>
    <w:rsid w:val="00F662CA"/>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6E9"/>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0F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61B"/>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B22"/>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A01"/>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130"/>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432"/>
        <w:tab w:val="num" w:pos="574"/>
      </w:tabs>
      <w:spacing w:before="240" w:after="180"/>
      <w:ind w:left="57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1">
    <w:name w:val="ECC Bullets Lv1"/>
    <w:basedOn w:val="Normal"/>
    <w:qFormat/>
    <w:rsid w:val="00E05D8B"/>
    <w:pPr>
      <w:numPr>
        <w:numId w:val="23"/>
      </w:numPr>
      <w:tabs>
        <w:tab w:val="left" w:pos="340"/>
      </w:tabs>
      <w:spacing w:before="60" w:after="0"/>
      <w:ind w:left="340" w:hanging="340"/>
      <w:jc w:val="both"/>
    </w:pPr>
    <w:rPr>
      <w:rFonts w:ascii="Arial" w:eastAsia="Calibri" w:hAnsi="Arial"/>
      <w:szCs w:val="22"/>
    </w:rPr>
  </w:style>
  <w:style w:type="paragraph" w:customStyle="1" w:styleId="ECCBulletsLv2">
    <w:name w:val="ECC Bullets Lv2"/>
    <w:basedOn w:val="ECCBulletsLv1"/>
    <w:rsid w:val="00E05D8B"/>
    <w:pPr>
      <w:tabs>
        <w:tab w:val="clear" w:pos="340"/>
        <w:tab w:val="left" w:pos="680"/>
      </w:tabs>
      <w:ind w:left="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D7E5FF82-D8FF-4E26-AF6C-2F2ED65FA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2466</TotalTime>
  <Pages>7</Pages>
  <Words>2883</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219</cp:revision>
  <cp:lastPrinted>2017-09-11T16:45:00Z</cp:lastPrinted>
  <dcterms:created xsi:type="dcterms:W3CDTF">2023-08-12T07:20:00Z</dcterms:created>
  <dcterms:modified xsi:type="dcterms:W3CDTF">2023-09-27T23:53:00Z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e,f,10</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